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pt-B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>TERMO DE REFERÊNCIA</w:t>
      </w:r>
    </w:p>
    <w:p>
      <w:pPr>
        <w:pStyle w:val="10"/>
        <w:numPr>
          <w:ilvl w:val="0"/>
          <w:numId w:val="1"/>
        </w:numPr>
        <w:spacing w:after="0"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OBJETO</w:t>
      </w:r>
    </w:p>
    <w:p>
      <w:pPr>
        <w:pStyle w:val="16"/>
        <w:spacing w:after="0" w:line="360" w:lineRule="auto"/>
        <w:ind w:left="0" w:firstLine="708" w:firstLineChars="0"/>
        <w:jc w:val="both"/>
        <w:rPr>
          <w:rFonts w:hint="default" w:ascii="Arial" w:hAnsi="Arial" w:cs="Arial"/>
          <w:b w:val="0"/>
          <w:bCs w:val="0"/>
          <w:sz w:val="24"/>
          <w:szCs w:val="24"/>
          <w:lang w:val="pt-BR"/>
        </w:rPr>
      </w:pPr>
      <w:r>
        <w:rPr>
          <w:rFonts w:ascii="Arial" w:hAnsi="Arial" w:eastAsia="LiberationSerif-Bold" w:cs="Arial"/>
          <w:bCs/>
          <w:sz w:val="24"/>
          <w:szCs w:val="24"/>
        </w:rPr>
        <w:t>Contratação de Empresa Especializada para</w:t>
      </w:r>
      <w:r>
        <w:rPr>
          <w:rFonts w:hint="default" w:ascii="Arial" w:hAnsi="Arial" w:eastAsia="LiberationSerif-Bold" w:cs="Arial"/>
          <w:bCs/>
          <w:sz w:val="24"/>
          <w:szCs w:val="24"/>
          <w:lang w:val="pt-BR"/>
        </w:rPr>
        <w:t xml:space="preserve"> a</w:t>
      </w:r>
      <w:r>
        <w:rPr>
          <w:rFonts w:ascii="Arial" w:hAnsi="Arial" w:eastAsia="LiberationSerif-Bold" w:cs="Arial"/>
          <w:bCs/>
          <w:sz w:val="24"/>
          <w:szCs w:val="24"/>
        </w:rPr>
        <w:t xml:space="preserve"> </w:t>
      </w:r>
      <w:r>
        <w:rPr>
          <w:rFonts w:hint="default" w:ascii="Arial" w:hAnsi="Arial" w:eastAsia="LiberationSerif-Bold" w:cs="Arial"/>
          <w:bCs/>
          <w:sz w:val="24"/>
          <w:szCs w:val="24"/>
          <w:lang w:val="pt-BR"/>
        </w:rPr>
        <w:t>elaboração de projetos de engenharia de Macro-Drenagem do bairro Centro de</w:t>
      </w:r>
      <w:r>
        <w:rPr>
          <w:rFonts w:hint="default" w:ascii="Arial" w:hAnsi="Arial" w:cs="Arial"/>
          <w:b w:val="0"/>
          <w:bCs w:val="0"/>
          <w:sz w:val="24"/>
          <w:szCs w:val="24"/>
          <w:lang w:val="pt-BR"/>
        </w:rPr>
        <w:t xml:space="preserve"> Santa Maria de Jetibá e bairros adjacentes - ES. </w:t>
      </w:r>
    </w:p>
    <w:p>
      <w:pPr>
        <w:pStyle w:val="10"/>
        <w:spacing w:after="0" w:line="360" w:lineRule="auto"/>
        <w:ind w:left="0"/>
        <w:jc w:val="both"/>
        <w:rPr>
          <w:rFonts w:hint="default" w:ascii="Arial" w:hAnsi="Arial" w:cs="Arial"/>
          <w:sz w:val="24"/>
          <w:szCs w:val="24"/>
          <w:lang w:val="en-US" w:eastAsia="pt-BR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 w:hanging="357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b/>
          <w:sz w:val="24"/>
          <w:szCs w:val="24"/>
        </w:rPr>
        <w:t>JUSTIFICATIVA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ascii="Arial" w:hAnsi="Arial" w:cs="Arial"/>
          <w:sz w:val="24"/>
          <w:szCs w:val="24"/>
          <w:lang w:val="pt-BR" w:eastAsia="pt-BR"/>
        </w:rPr>
      </w:pPr>
      <w:r>
        <w:rPr>
          <w:rFonts w:hint="default" w:ascii="Arial" w:hAnsi="Arial" w:cs="Arial"/>
          <w:sz w:val="24"/>
          <w:szCs w:val="24"/>
          <w:lang w:val="pt-BR" w:eastAsia="pt-BR"/>
        </w:rPr>
        <w:t>2.1 -</w:t>
      </w:r>
      <w:r>
        <w:rPr>
          <w:rFonts w:hint="default" w:ascii="Arial" w:hAnsi="Arial" w:cs="Arial"/>
          <w:sz w:val="24"/>
          <w:szCs w:val="24"/>
          <w:lang w:val="en-US" w:eastAsia="pt-BR"/>
        </w:rPr>
        <w:t xml:space="preserve"> </w:t>
      </w:r>
      <w:r>
        <w:rPr>
          <w:rFonts w:hint="default" w:ascii="Arial" w:hAnsi="Arial" w:cs="Arial"/>
          <w:sz w:val="24"/>
          <w:szCs w:val="24"/>
        </w:rPr>
        <w:t xml:space="preserve">Trata-se da contratação de pessoa jurídica </w:t>
      </w:r>
      <w:r>
        <w:rPr>
          <w:rFonts w:hint="default" w:ascii="Arial" w:hAnsi="Arial" w:cs="Arial"/>
          <w:sz w:val="24"/>
          <w:szCs w:val="24"/>
          <w:lang w:val="pt-BR"/>
        </w:rPr>
        <w:t xml:space="preserve">para elaboração de </w:t>
      </w:r>
      <w:r>
        <w:rPr>
          <w:rFonts w:hint="default" w:ascii="Arial" w:hAnsi="Arial" w:cs="Arial"/>
          <w:sz w:val="24"/>
          <w:szCs w:val="24"/>
          <w:lang w:val="en-US"/>
        </w:rPr>
        <w:t xml:space="preserve">projeto executivo de </w:t>
      </w:r>
      <w:r>
        <w:rPr>
          <w:rFonts w:hint="default" w:ascii="Arial" w:hAnsi="Arial" w:cs="Arial"/>
          <w:sz w:val="24"/>
          <w:szCs w:val="24"/>
          <w:lang w:val="pt-BR"/>
        </w:rPr>
        <w:t>engenharia de Macro-Drenagem para possibilitar a contratação de empresa especializada para realizar as obras de um sistema de drenagem eficiente  que acompanhe o crescimento e desenvolvimento da cidade, impulsionados pela força da produção hortifrutigranjeira e no alto potencial de comercialização do Município frente ao Estado do Espírito Santo</w:t>
      </w:r>
      <w:r>
        <w:rPr>
          <w:rFonts w:hint="default" w:ascii="Arial" w:hAnsi="Arial" w:cs="Arial"/>
          <w:sz w:val="24"/>
          <w:szCs w:val="24"/>
          <w:lang w:val="en-US" w:eastAsia="pt-BR"/>
        </w:rPr>
        <w:t xml:space="preserve">. </w:t>
      </w:r>
    </w:p>
    <w:p>
      <w:pPr>
        <w:spacing w:after="0" w:line="360" w:lineRule="auto"/>
        <w:jc w:val="both"/>
        <w:rPr>
          <w:rFonts w:hint="default" w:ascii="Arial" w:hAnsi="Arial" w:eastAsia="LiberationSerif-Bold" w:cs="Arial"/>
          <w:b w:val="0"/>
          <w:bCs/>
          <w:color w:val="auto"/>
          <w:sz w:val="24"/>
          <w:szCs w:val="24"/>
          <w:highlight w:val="none"/>
          <w:lang w:val="pt-BR"/>
        </w:rPr>
      </w:pPr>
      <w:r>
        <w:rPr>
          <w:rFonts w:hint="default" w:ascii="Arial" w:hAnsi="Arial" w:cs="Arial"/>
          <w:sz w:val="24"/>
          <w:szCs w:val="24"/>
          <w:lang w:val="pt-BR" w:eastAsia="pt-BR"/>
        </w:rPr>
        <w:t>2.2 -</w:t>
      </w:r>
      <w:r>
        <w:rPr>
          <w:rFonts w:hint="default" w:ascii="Arial" w:hAnsi="Arial" w:cs="Arial"/>
          <w:sz w:val="24"/>
          <w:szCs w:val="24"/>
          <w:lang w:val="en-US" w:eastAsia="pt-BR"/>
        </w:rPr>
        <w:t xml:space="preserve"> O</w:t>
      </w:r>
      <w:r>
        <w:rPr>
          <w:rFonts w:hint="default" w:ascii="Arial" w:hAnsi="Arial" w:cs="Arial"/>
          <w:sz w:val="24"/>
          <w:szCs w:val="24"/>
          <w:lang w:val="pt-BR"/>
        </w:rPr>
        <w:t>s projetos solicitados deverão corresponder às expectativas de solucionar os problemas de drenagem a fim de mitigar ou mesmo eliminar os riscos hidrológicos ou geológicos das áreas cadastradas</w:t>
      </w:r>
      <w:r>
        <w:rPr>
          <w:rFonts w:hint="default" w:ascii="Arial" w:hAnsi="Arial" w:eastAsia="LiberationSerif-Bold" w:cs="Arial"/>
          <w:b w:val="0"/>
          <w:bCs/>
          <w:color w:val="auto"/>
          <w:sz w:val="24"/>
          <w:szCs w:val="24"/>
          <w:highlight w:val="none"/>
          <w:lang w:val="pt-BR"/>
        </w:rPr>
        <w:t xml:space="preserve">. Beneficiando assim, diversas famílias e comércios que se encontram nas localidades do centro do município e os demais bairros adjacentes já citados </w:t>
      </w:r>
      <w:r>
        <w:rPr>
          <w:rFonts w:hint="default" w:ascii="Arial" w:hAnsi="Arial" w:cs="Arial"/>
          <w:sz w:val="24"/>
          <w:szCs w:val="24"/>
          <w:lang w:val="pt-BR"/>
        </w:rPr>
        <w:t>no Documento de Formalização de Demanda e Estudo Técnico Preliminar.</w:t>
      </w:r>
      <w:r>
        <w:rPr>
          <w:rFonts w:hint="default" w:ascii="Arial" w:hAnsi="Arial" w:eastAsia="LiberationSerif-Bold" w:cs="Arial"/>
          <w:b w:val="0"/>
          <w:bCs/>
          <w:color w:val="auto"/>
          <w:sz w:val="24"/>
          <w:szCs w:val="24"/>
          <w:highlight w:val="none"/>
          <w:lang w:val="pt-BR"/>
        </w:rPr>
        <w:t xml:space="preserve"> </w:t>
      </w:r>
    </w:p>
    <w:p>
      <w:pPr>
        <w:spacing w:after="0" w:line="360" w:lineRule="auto"/>
        <w:jc w:val="both"/>
        <w:rPr>
          <w:rFonts w:hint="default" w:ascii="Arial" w:hAnsi="Arial" w:eastAsia="LiberationSerif-Bold" w:cs="Arial"/>
          <w:b w:val="0"/>
          <w:bCs/>
          <w:color w:val="auto"/>
          <w:sz w:val="24"/>
          <w:szCs w:val="24"/>
          <w:highlight w:val="none"/>
          <w:lang w:val="pt-BR" w:eastAsia="pt-BR"/>
        </w:rPr>
      </w:pPr>
    </w:p>
    <w:tbl>
      <w:tblPr>
        <w:tblStyle w:val="9"/>
        <w:tblW w:w="8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35"/>
        <w:gridCol w:w="3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835" w:type="dxa"/>
            <w:vAlign w:val="center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vertAlign w:val="baseline"/>
                <w:lang w:val="en-US" w:eastAsia="pt-BR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US" w:eastAsia="pt-BR"/>
              </w:rPr>
              <w:t>TRECHO</w:t>
            </w:r>
          </w:p>
        </w:tc>
        <w:tc>
          <w:tcPr>
            <w:tcW w:w="3885" w:type="dxa"/>
            <w:vAlign w:val="bottom"/>
          </w:tcPr>
          <w:p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vertAlign w:val="baseline"/>
                <w:lang w:val="en-US" w:eastAsia="pt-BR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vertAlign w:val="baseline"/>
                <w:lang w:val="en-US" w:eastAsia="pt-BR"/>
              </w:rPr>
              <w:t>DISTÂNCIA(km)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0" w:hRule="atLeast"/>
        </w:trPr>
        <w:tc>
          <w:tcPr>
            <w:tcW w:w="4835" w:type="dxa"/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both"/>
              <w:textAlignment w:val="center"/>
              <w:rPr>
                <w:rFonts w:hint="default" w:ascii="Arial" w:hAnsi="Arial" w:eastAsia="SimSun" w:cs="Arial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</w:pPr>
            <w:r>
              <w:rPr>
                <w:rFonts w:hint="default" w:ascii="Times New Roman" w:hAnsi="Times New Roman" w:eastAsia="SimSun" w:cs="Times New Roman"/>
                <w:b/>
                <w:i w:val="0"/>
                <w:color w:val="000000"/>
                <w:kern w:val="0"/>
                <w:sz w:val="20"/>
                <w:szCs w:val="20"/>
                <w:u w:val="none"/>
                <w:lang w:val="pt-BR" w:eastAsia="zh-CN" w:bidi="ar"/>
              </w:rPr>
              <w:t>Centro de Santa Maria de Jetibá e bairros adjacentes</w:t>
            </w:r>
          </w:p>
        </w:tc>
        <w:tc>
          <w:tcPr>
            <w:tcW w:w="3885" w:type="dxa"/>
            <w:shd w:val="clear" w:color="auto" w:fill="CC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SimSun" w:cs="Calibri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pt-BR" w:eastAsia="zh-CN" w:bidi="ar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color w:val="000000"/>
                <w:kern w:val="0"/>
                <w:sz w:val="20"/>
                <w:szCs w:val="20"/>
                <w:u w:val="none"/>
                <w:lang w:val="pt-BR" w:eastAsia="zh-CN" w:bidi="ar"/>
              </w:rPr>
              <w:t>4,8</w:t>
            </w:r>
          </w:p>
        </w:tc>
      </w:tr>
    </w:tbl>
    <w:p>
      <w:pPr>
        <w:spacing w:after="0" w:line="360" w:lineRule="auto"/>
        <w:jc w:val="both"/>
        <w:rPr>
          <w:rFonts w:ascii="Arial" w:hAnsi="Arial" w:cs="Arial"/>
          <w:sz w:val="24"/>
          <w:szCs w:val="24"/>
          <w:lang w:val="pt-BR" w:eastAsia="pt-BR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 w:hanging="357"/>
        <w:jc w:val="both"/>
        <w:rPr>
          <w:rFonts w:ascii="Arial" w:hAnsi="Arial" w:cs="Arial"/>
          <w:sz w:val="24"/>
          <w:szCs w:val="24"/>
          <w:highlight w:val="none"/>
        </w:rPr>
      </w:pPr>
      <w:r>
        <w:rPr>
          <w:rFonts w:ascii="Arial" w:hAnsi="Arial" w:cs="Arial"/>
          <w:b/>
          <w:sz w:val="24"/>
          <w:szCs w:val="24"/>
          <w:highlight w:val="none"/>
        </w:rPr>
        <w:t>PRAZO DE EXECUÇÃO</w:t>
      </w:r>
    </w:p>
    <w:p>
      <w:pPr>
        <w:spacing w:after="0" w:line="360" w:lineRule="auto"/>
        <w:ind w:firstLine="708" w:firstLineChars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 contrato deverá ser pactuado com prazo de </w:t>
      </w:r>
      <w:r>
        <w:rPr>
          <w:rFonts w:hint="default" w:ascii="Arial" w:hAnsi="Arial" w:cs="Arial"/>
          <w:sz w:val="24"/>
          <w:szCs w:val="24"/>
          <w:lang w:val="pt-BR"/>
        </w:rPr>
        <w:t xml:space="preserve">quatrocentos e vinte e cinco </w:t>
      </w:r>
      <w:r>
        <w:rPr>
          <w:rFonts w:ascii="Arial" w:hAnsi="Arial" w:cs="Arial"/>
          <w:sz w:val="24"/>
          <w:szCs w:val="24"/>
        </w:rPr>
        <w:t>dias (</w:t>
      </w:r>
      <w:r>
        <w:rPr>
          <w:rFonts w:hint="default" w:ascii="Arial" w:hAnsi="Arial" w:cs="Arial"/>
          <w:sz w:val="24"/>
          <w:szCs w:val="24"/>
          <w:lang w:val="pt-BR"/>
        </w:rPr>
        <w:t>425</w:t>
      </w:r>
      <w:r>
        <w:rPr>
          <w:rFonts w:ascii="Arial" w:hAnsi="Arial" w:cs="Arial"/>
          <w:sz w:val="24"/>
          <w:szCs w:val="24"/>
        </w:rPr>
        <w:t xml:space="preserve">) contados a partir de sua assinatura. </w:t>
      </w:r>
    </w:p>
    <w:p>
      <w:pPr>
        <w:spacing w:after="0" w:line="360" w:lineRule="auto"/>
        <w:ind w:firstLine="708" w:firstLineChars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execução terá prazo de até </w:t>
      </w:r>
      <w:r>
        <w:rPr>
          <w:rFonts w:hint="default" w:ascii="Arial" w:hAnsi="Arial" w:cs="Arial"/>
          <w:sz w:val="24"/>
          <w:szCs w:val="24"/>
          <w:lang w:val="pt-BR"/>
        </w:rPr>
        <w:t xml:space="preserve">trezentos e sessenta e cinco </w:t>
      </w:r>
      <w:r>
        <w:rPr>
          <w:rFonts w:ascii="Arial" w:hAnsi="Arial" w:cs="Arial"/>
          <w:sz w:val="24"/>
          <w:szCs w:val="24"/>
        </w:rPr>
        <w:t>dias (</w:t>
      </w:r>
      <w:r>
        <w:rPr>
          <w:rFonts w:hint="default" w:ascii="Arial" w:hAnsi="Arial" w:cs="Arial"/>
          <w:sz w:val="24"/>
          <w:szCs w:val="24"/>
          <w:lang w:val="pt-BR"/>
        </w:rPr>
        <w:t>365</w:t>
      </w:r>
      <w:r>
        <w:rPr>
          <w:rFonts w:ascii="Arial" w:hAnsi="Arial" w:cs="Arial"/>
          <w:sz w:val="24"/>
          <w:szCs w:val="24"/>
        </w:rPr>
        <w:t>) contados a partir da data da assinatura da ordem de serviço, conforme cronograma em anexo, podendo ser prorrogado, nos termos da Lei 8.666/93.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VALOR DOS SERVIÇOS</w:t>
      </w:r>
    </w:p>
    <w:p>
      <w:pPr>
        <w:spacing w:after="0" w:line="360" w:lineRule="auto"/>
        <w:ind w:firstLine="708" w:firstLineChars="0"/>
        <w:jc w:val="both"/>
        <w:rPr>
          <w:rFonts w:ascii="Arial" w:hAnsi="Arial" w:cs="Arial"/>
          <w:sz w:val="24"/>
          <w:szCs w:val="24"/>
          <w:lang w:eastAsia="pt-BR"/>
        </w:rPr>
      </w:pPr>
      <w:r>
        <w:rPr>
          <w:rFonts w:ascii="Arial" w:hAnsi="Arial" w:cs="Arial"/>
          <w:sz w:val="24"/>
          <w:szCs w:val="24"/>
          <w:lang w:eastAsia="pt-BR"/>
        </w:rPr>
        <w:t xml:space="preserve">O valor total estimado é de </w:t>
      </w:r>
      <w:r>
        <w:rPr>
          <w:rFonts w:ascii="Arial" w:hAnsi="Arial" w:cs="Arial"/>
          <w:sz w:val="24"/>
          <w:szCs w:val="24"/>
          <w:lang w:eastAsia="zh-CN"/>
        </w:rPr>
        <w:t xml:space="preserve">R$ </w:t>
      </w:r>
      <w:r>
        <w:rPr>
          <w:rFonts w:hint="default" w:ascii="Arial" w:hAnsi="Arial" w:eastAsia="LiberationSerif-Bold"/>
          <w:b w:val="0"/>
          <w:bCs/>
          <w:color w:val="auto"/>
          <w:sz w:val="24"/>
          <w:szCs w:val="24"/>
          <w:highlight w:val="none"/>
          <w:lang w:val="pt-BR"/>
        </w:rPr>
        <w:t xml:space="preserve">828.591,60 </w:t>
      </w:r>
      <w:r>
        <w:rPr>
          <w:rFonts w:hint="default" w:ascii="Arial" w:hAnsi="Arial" w:eastAsia="LiberationSerif-Bold" w:cs="Arial"/>
          <w:b w:val="0"/>
          <w:bCs/>
          <w:color w:val="auto"/>
          <w:sz w:val="24"/>
          <w:szCs w:val="24"/>
          <w:highlight w:val="none"/>
          <w:lang w:val="pt-BR"/>
        </w:rPr>
        <w:t>(oitocentos e vinte e oito mil quinhentos e noventa e um reais e sessenta centavos)</w:t>
      </w:r>
      <w:r>
        <w:rPr>
          <w:rFonts w:ascii="Arial" w:hAnsi="Arial" w:cs="Arial"/>
          <w:sz w:val="24"/>
          <w:szCs w:val="24"/>
          <w:lang w:eastAsia="pt-BR"/>
        </w:rPr>
        <w:t>, conforme indicado na Planilha Orçamentária integrante do ETP (Estudo Técnico Preliminar).</w:t>
      </w:r>
    </w:p>
    <w:p>
      <w:pPr>
        <w:spacing w:after="0" w:line="360" w:lineRule="auto"/>
        <w:jc w:val="both"/>
        <w:rPr>
          <w:rFonts w:ascii="Arial" w:hAnsi="Arial" w:cs="Arial"/>
          <w:sz w:val="24"/>
          <w:szCs w:val="24"/>
          <w:lang w:eastAsia="pt-BR"/>
        </w:rPr>
      </w:pPr>
    </w:p>
    <w:p>
      <w:pPr>
        <w:pStyle w:val="16"/>
        <w:spacing w:after="0" w:line="360" w:lineRule="auto"/>
        <w:ind w:left="0" w:firstLine="708" w:firstLineChars="0"/>
        <w:jc w:val="both"/>
        <w:rPr>
          <w:rFonts w:hint="default" w:ascii="Arial" w:hAnsi="Arial"/>
          <w:sz w:val="24"/>
          <w:szCs w:val="24"/>
          <w:highlight w:val="none"/>
          <w:lang w:val="en-US" w:eastAsia="pt-BR"/>
        </w:rPr>
      </w:pPr>
      <w:r>
        <w:rPr>
          <w:rFonts w:ascii="Arial" w:hAnsi="Arial" w:cs="Arial"/>
          <w:sz w:val="24"/>
          <w:szCs w:val="24"/>
          <w:lang w:eastAsia="pt-BR"/>
        </w:rPr>
        <w:t>Para a composição dos preços unitários, foi utilizad</w:t>
      </w:r>
      <w:r>
        <w:rPr>
          <w:rFonts w:hint="default" w:ascii="Arial" w:hAnsi="Arial" w:cs="Arial"/>
          <w:sz w:val="24"/>
          <w:szCs w:val="24"/>
          <w:lang w:val="en-US" w:eastAsia="pt-BR"/>
        </w:rPr>
        <w:t>o</w:t>
      </w:r>
      <w:r>
        <w:rPr>
          <w:rFonts w:ascii="Arial" w:hAnsi="Arial" w:cs="Arial"/>
          <w:sz w:val="24"/>
          <w:szCs w:val="24"/>
          <w:lang w:eastAsia="pt-BR"/>
        </w:rPr>
        <w:t xml:space="preserve"> </w:t>
      </w:r>
      <w:r>
        <w:rPr>
          <w:rFonts w:hint="default" w:ascii="Arial" w:hAnsi="Arial" w:cs="Arial"/>
          <w:sz w:val="24"/>
          <w:szCs w:val="24"/>
          <w:lang w:val="en-US" w:eastAsia="pt-BR"/>
        </w:rPr>
        <w:t>o</w:t>
      </w:r>
      <w:r>
        <w:rPr>
          <w:rFonts w:ascii="Arial" w:hAnsi="Arial" w:cs="Arial"/>
          <w:sz w:val="24"/>
          <w:szCs w:val="24"/>
          <w:lang w:eastAsia="pt-BR"/>
        </w:rPr>
        <w:t xml:space="preserve"> </w:t>
      </w:r>
      <w:r>
        <w:rPr>
          <w:rFonts w:hint="default" w:ascii="Arial" w:hAnsi="Arial" w:cs="Arial"/>
          <w:sz w:val="24"/>
          <w:szCs w:val="24"/>
          <w:lang w:val="en-US" w:eastAsia="pt-BR"/>
        </w:rPr>
        <w:t>referencial IOPES 01/2022,</w:t>
      </w:r>
      <w:r>
        <w:rPr>
          <w:rFonts w:ascii="Arial" w:hAnsi="Arial" w:cs="Arial"/>
          <w:sz w:val="24"/>
          <w:szCs w:val="24"/>
          <w:lang w:eastAsia="pt-BR"/>
        </w:rPr>
        <w:t xml:space="preserve"> 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highlight w:val="none"/>
          <w:lang w:val="pt-BR"/>
        </w:rPr>
        <w:t>c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om desoneração</w:t>
      </w:r>
      <w:r>
        <w:rPr>
          <w:rFonts w:ascii="Arial" w:hAnsi="Arial" w:cs="Arial"/>
          <w:sz w:val="24"/>
          <w:szCs w:val="24"/>
          <w:highlight w:val="none"/>
          <w:lang w:eastAsia="pt-BR"/>
        </w:rPr>
        <w:t xml:space="preserve">, BDI de </w:t>
      </w:r>
      <w:r>
        <w:rPr>
          <w:rFonts w:hint="default" w:ascii="Arial" w:hAnsi="Arial" w:cs="Arial"/>
          <w:sz w:val="24"/>
          <w:szCs w:val="24"/>
          <w:highlight w:val="none"/>
          <w:lang w:val="en-US" w:eastAsia="pt-BR"/>
        </w:rPr>
        <w:t>31,96</w:t>
      </w:r>
      <w:r>
        <w:rPr>
          <w:rFonts w:ascii="Arial" w:hAnsi="Arial" w:cs="Arial"/>
          <w:sz w:val="24"/>
          <w:szCs w:val="24"/>
          <w:highlight w:val="none"/>
          <w:lang w:eastAsia="pt-BR"/>
        </w:rPr>
        <w:t>%</w:t>
      </w:r>
      <w:r>
        <w:rPr>
          <w:rFonts w:hint="default" w:ascii="Arial" w:hAnsi="Arial" w:cs="Arial"/>
          <w:sz w:val="24"/>
          <w:szCs w:val="24"/>
          <w:highlight w:val="none"/>
          <w:lang w:val="en-US" w:eastAsia="pt-BR"/>
        </w:rPr>
        <w:t>,</w:t>
      </w:r>
      <w:r>
        <w:rPr>
          <w:rFonts w:ascii="Arial" w:hAnsi="Arial" w:cs="Arial"/>
          <w:sz w:val="24"/>
          <w:szCs w:val="24"/>
          <w:highlight w:val="none"/>
          <w:lang w:eastAsia="pt-BR"/>
        </w:rPr>
        <w:t xml:space="preserve"> 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highlight w:val="none"/>
          <w:lang w:val="pt-BR"/>
        </w:rPr>
        <w:t>do DER-ES (Edificações) junho de 2021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.</w:t>
      </w:r>
    </w:p>
    <w:p>
      <w:pPr>
        <w:spacing w:after="0" w:line="360" w:lineRule="auto"/>
        <w:jc w:val="both"/>
        <w:rPr>
          <w:rFonts w:ascii="Arial" w:hAnsi="Arial" w:eastAsia="Calibri" w:cs="Arial"/>
          <w:sz w:val="24"/>
          <w:szCs w:val="24"/>
          <w:lang w:val="pt-BR" w:eastAsia="pt-BR" w:bidi="ar-SA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DA FONTE DE RECURSOS E DA DOTAÇÃO ORÇAMENTÁRIA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0"/>
        <w:jc w:val="both"/>
        <w:textAlignment w:val="auto"/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ab/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As despesas de pavimentação e drenagem estão na dotação orçamentária: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br w:type="textWrapping"/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014003.1545100101.020 - Pavimentação e Drenagem de Vias Públicas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br w:type="textWrapping"/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44905100000 - OBRAS E INSTALAÇÕES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Arial" w:hAnsi="Arial" w:cs="Arial"/>
          <w:sz w:val="24"/>
          <w:szCs w:val="24"/>
          <w:lang w:val="pt-BR"/>
        </w:rPr>
      </w:pP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44905180000 - ESTUDOS E PROJETOS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br w:type="textWrapping"/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Ficha: 0000677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br w:type="textWrapping"/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Fonte: 19900000000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br w:type="textWrapping"/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  <w:r>
        <w:rPr>
          <w:rFonts w:hint="default" w:ascii="Arial" w:hAnsi="Arial" w:cs="Arial"/>
          <w:sz w:val="24"/>
          <w:szCs w:val="24"/>
          <w:lang w:val="pt-BR"/>
        </w:rPr>
        <w:t xml:space="preserve">                                                                                                                                                                     </w:t>
      </w:r>
    </w:p>
    <w:p>
      <w:pPr>
        <w:spacing w:after="0"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DA QUALIFICAÇÃO TÉCNICA</w:t>
      </w:r>
      <w:r>
        <w:t xml:space="preserve">: </w:t>
      </w:r>
    </w:p>
    <w:p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– Registro ou inscrição da empresa no Conselho Regional de Engenharia, Arquitetura e Agronomia – CREA, com jurisdição sobre o domicílio da sede da licitante; </w:t>
      </w:r>
    </w:p>
    <w:p>
      <w:pPr>
        <w:numPr>
          <w:ilvl w:val="0"/>
          <w:numId w:val="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>
      <w:pPr>
        <w:numPr>
          <w:ilvl w:val="0"/>
          <w:numId w:val="2"/>
        </w:numPr>
        <w:spacing w:after="0" w:line="360" w:lineRule="auto"/>
        <w:ind w:left="0" w:leftChars="0" w:firstLine="0" w:firstLineChars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– Comprovante de regularidade fiscal </w:t>
      </w:r>
      <w:r>
        <w:rPr>
          <w:rFonts w:hint="default" w:ascii="Arial" w:hAnsi="Arial" w:cs="Arial"/>
          <w:sz w:val="24"/>
          <w:szCs w:val="24"/>
          <w:lang w:val="pt-BR"/>
        </w:rPr>
        <w:t xml:space="preserve">e </w:t>
      </w:r>
      <w:r>
        <w:rPr>
          <w:rFonts w:ascii="Arial" w:hAnsi="Arial" w:cs="Arial"/>
          <w:sz w:val="24"/>
          <w:szCs w:val="24"/>
        </w:rPr>
        <w:t>trabalhista</w:t>
      </w:r>
    </w:p>
    <w:p>
      <w:pPr>
        <w:numPr>
          <w:ilvl w:val="0"/>
          <w:numId w:val="0"/>
        </w:numPr>
        <w:spacing w:after="0" w:line="360" w:lineRule="auto"/>
        <w:ind w:leftChars="0"/>
        <w:jc w:val="both"/>
        <w:rPr>
          <w:rFonts w:ascii="Arial" w:hAnsi="Arial" w:cs="Arial"/>
          <w:sz w:val="24"/>
          <w:szCs w:val="24"/>
          <w:lang w:val="pt-BR"/>
        </w:rPr>
      </w:pPr>
    </w:p>
    <w:p>
      <w:pPr>
        <w:numPr>
          <w:ilvl w:val="0"/>
          <w:numId w:val="2"/>
        </w:numPr>
        <w:spacing w:after="0" w:line="360" w:lineRule="auto"/>
        <w:ind w:left="0" w:leftChars="0" w:firstLine="0" w:firstLineChars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– Capacitação técnico-profissional</w:t>
      </w:r>
      <w:r>
        <w:rPr>
          <w:rFonts w:ascii="Arial" w:hAnsi="Arial" w:cs="Arial"/>
          <w:sz w:val="24"/>
          <w:szCs w:val="24"/>
          <w:lang w:val="pt-BR"/>
        </w:rPr>
        <w:t>:</w:t>
      </w:r>
    </w:p>
    <w:p>
      <w:pPr>
        <w:numPr>
          <w:ilvl w:val="0"/>
          <w:numId w:val="0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after="0" w:line="360" w:lineRule="auto"/>
        <w:ind w:leftChars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pt-BR"/>
        </w:rPr>
        <w:t>c.1</w:t>
      </w:r>
      <w:r>
        <w:rPr>
          <w:rFonts w:ascii="Arial" w:hAnsi="Arial" w:cs="Arial"/>
          <w:sz w:val="24"/>
          <w:szCs w:val="24"/>
        </w:rPr>
        <w:t xml:space="preserve">) Registro ou Inscrição do responsável técnico indicado no Conselho Regional de Engenharia, Agronomia e Arquitetura – CREA da região da sede da empresa ou outra entidade profissional competente do profissional de nível superior. </w:t>
      </w:r>
    </w:p>
    <w:p>
      <w:pPr>
        <w:numPr>
          <w:ilvl w:val="0"/>
          <w:numId w:val="0"/>
        </w:numPr>
        <w:spacing w:after="0" w:line="360" w:lineRule="auto"/>
        <w:ind w:leftChars="0"/>
        <w:jc w:val="both"/>
        <w:rPr>
          <w:rFonts w:ascii="Arial" w:hAnsi="Arial" w:cs="Arial"/>
          <w:sz w:val="24"/>
          <w:szCs w:val="24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c.2</w:t>
      </w:r>
      <w:r>
        <w:rPr>
          <w:rFonts w:ascii="Arial" w:hAnsi="Arial" w:cs="Arial"/>
          <w:sz w:val="24"/>
          <w:szCs w:val="24"/>
        </w:rPr>
        <w:t>) Comprovação de que o licitante possui em seu quadro, profissional devidamente reconhecido pelo CREA, de nível superior, e que seja detentor de no mínimo 1 (uma) Certidão de Acervo Técnico por execução de serviços/obras de características semelhantes deste Edital</w:t>
      </w:r>
      <w:r>
        <w:rPr>
          <w:rFonts w:hint="default" w:ascii="Arial" w:hAnsi="Arial" w:cs="Arial"/>
          <w:sz w:val="24"/>
          <w:szCs w:val="24"/>
          <w:lang w:val="pt-BR"/>
        </w:rPr>
        <w:t>.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/>
        </w:rPr>
      </w:pPr>
    </w:p>
    <w:p>
      <w:pPr>
        <w:numPr>
          <w:ilvl w:val="0"/>
          <w:numId w:val="0"/>
        </w:numPr>
        <w:spacing w:after="0" w:line="360" w:lineRule="auto"/>
        <w:ind w:leftChars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pt-BR"/>
        </w:rPr>
        <w:t>c.3</w:t>
      </w:r>
      <w:r>
        <w:rPr>
          <w:rFonts w:ascii="Arial" w:hAnsi="Arial" w:cs="Arial"/>
          <w:sz w:val="24"/>
          <w:szCs w:val="24"/>
        </w:rPr>
        <w:t xml:space="preserve">) O responsável técnico indicado poderá ocupar a posição de diretor, sócio ou integrar o quadro permanente do licitante na condição de empregado ou de prestador de serviços, devendo ser comprovada sua vinculação com o licitante, até a data da apresentação dos documentos de habilitação, por meio de carteira de trabalho e previdência social (CTPS), contrato de prestação de serviços, ficha de registro de empregado ou contrato social, conforme o caso. </w:t>
      </w:r>
    </w:p>
    <w:p>
      <w:pPr>
        <w:numPr>
          <w:ilvl w:val="0"/>
          <w:numId w:val="0"/>
        </w:numPr>
        <w:spacing w:after="0" w:line="360" w:lineRule="auto"/>
        <w:ind w:leftChars="0"/>
        <w:jc w:val="both"/>
        <w:rPr>
          <w:rFonts w:ascii="Arial" w:hAnsi="Arial" w:cs="Arial"/>
          <w:sz w:val="24"/>
          <w:szCs w:val="24"/>
        </w:rPr>
      </w:pPr>
    </w:p>
    <w:p>
      <w:pPr>
        <w:numPr>
          <w:ilvl w:val="0"/>
          <w:numId w:val="0"/>
        </w:numPr>
        <w:spacing w:after="0" w:line="360" w:lineRule="auto"/>
        <w:ind w:leftChars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pt-BR"/>
        </w:rPr>
        <w:t>c.</w:t>
      </w:r>
      <w:r>
        <w:rPr>
          <w:rFonts w:hint="default" w:ascii="Arial" w:hAnsi="Arial" w:cs="Arial"/>
          <w:sz w:val="24"/>
          <w:szCs w:val="24"/>
          <w:lang w:val="pt-BR"/>
        </w:rPr>
        <w:t>4</w:t>
      </w:r>
      <w:r>
        <w:rPr>
          <w:rFonts w:ascii="Arial" w:hAnsi="Arial" w:cs="Arial"/>
          <w:sz w:val="24"/>
          <w:szCs w:val="24"/>
        </w:rPr>
        <w:t>) O profissional indicado pelo licitante para fins de comprovação da capacidade técnica-profissional deverá acompanhar a execução dos serviços, admitindo-se sua substituição por profissionais de experiência equivalente ou superior, desde que aprovada pela Administração. Para essa substituição, a qualificação técnica do profissional substituto deverá atender as mesmas exigências deste Edital.</w:t>
      </w:r>
    </w:p>
    <w:p>
      <w:pPr>
        <w:numPr>
          <w:ilvl w:val="0"/>
          <w:numId w:val="0"/>
        </w:numPr>
        <w:spacing w:after="0" w:line="360" w:lineRule="auto"/>
        <w:ind w:leftChars="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hint="default" w:ascii="Arial" w:hAnsi="Arial" w:cs="Arial"/>
          <w:sz w:val="24"/>
          <w:szCs w:val="24"/>
          <w:lang w:val="pt-BR"/>
        </w:rPr>
        <w:t xml:space="preserve"> </w:t>
      </w:r>
    </w:p>
    <w:p>
      <w:pPr>
        <w:pStyle w:val="10"/>
        <w:numPr>
          <w:ilvl w:val="0"/>
          <w:numId w:val="1"/>
        </w:numPr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pt-BR"/>
        </w:rPr>
        <w:t>VISITA TÉCNICA FACULTATIVA</w:t>
      </w:r>
      <w:r>
        <w:rPr>
          <w:rFonts w:ascii="Arial" w:hAnsi="Arial" w:cs="Arial"/>
          <w:b/>
          <w:sz w:val="24"/>
          <w:szCs w:val="24"/>
        </w:rPr>
        <w:t xml:space="preserve">: </w:t>
      </w:r>
    </w:p>
    <w:p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 w:eastAsia="pt-BR" w:bidi="ar-SA"/>
        </w:rPr>
      </w:pPr>
      <w:r>
        <w:rPr>
          <w:rFonts w:ascii="Arial" w:hAnsi="Arial" w:cs="Arial"/>
          <w:sz w:val="24"/>
          <w:szCs w:val="24"/>
          <w:lang w:val="en-US" w:eastAsia="pt-BR" w:bidi="ar-SA"/>
        </w:rPr>
        <w:t xml:space="preserve">A Secretaria de Obras e Infraestruturas recomenda </w:t>
      </w:r>
      <w:r>
        <w:rPr>
          <w:rFonts w:ascii="Arial" w:hAnsi="Arial" w:cs="Arial"/>
          <w:sz w:val="24"/>
          <w:szCs w:val="24"/>
          <w:lang w:val="pt-BR" w:eastAsia="pt-BR" w:bidi="ar-SA"/>
        </w:rPr>
        <w:t>que todos os licitantes</w:t>
      </w:r>
      <w:r>
        <w:rPr>
          <w:rFonts w:ascii="Arial" w:hAnsi="Arial" w:cs="Arial"/>
          <w:sz w:val="24"/>
          <w:szCs w:val="24"/>
          <w:lang w:val="en-US" w:eastAsia="pt-BR" w:bidi="ar-SA"/>
        </w:rPr>
        <w:t xml:space="preserve"> visitem</w:t>
      </w:r>
      <w:r>
        <w:rPr>
          <w:rFonts w:ascii="Arial" w:hAnsi="Arial" w:cs="Arial"/>
          <w:sz w:val="24"/>
          <w:szCs w:val="24"/>
          <w:lang w:val="pt-BR" w:eastAsia="pt-BR" w:bidi="ar-SA"/>
        </w:rPr>
        <w:t xml:space="preserve"> os locais da execução dos serviços</w:t>
      </w:r>
      <w:r>
        <w:rPr>
          <w:rFonts w:ascii="Arial" w:hAnsi="Arial" w:cs="Arial"/>
          <w:sz w:val="24"/>
          <w:szCs w:val="24"/>
          <w:lang w:val="en-US" w:eastAsia="pt-BR" w:bidi="ar-SA"/>
        </w:rPr>
        <w:t xml:space="preserve"> para terem conhecimento pleno</w:t>
      </w:r>
      <w:r>
        <w:rPr>
          <w:rFonts w:ascii="Arial" w:hAnsi="Arial" w:cs="Arial"/>
          <w:sz w:val="24"/>
          <w:szCs w:val="24"/>
          <w:lang w:val="pt-BR" w:eastAsia="pt-BR" w:bidi="ar-SA"/>
        </w:rPr>
        <w:t xml:space="preserve"> </w:t>
      </w:r>
      <w:r>
        <w:rPr>
          <w:rFonts w:ascii="Arial" w:hAnsi="Arial" w:cs="Arial"/>
          <w:sz w:val="24"/>
          <w:szCs w:val="24"/>
          <w:lang w:val="en-US" w:eastAsia="pt-BR" w:bidi="ar-SA"/>
        </w:rPr>
        <w:t>das obras a serem executadas e dos impactos ambientais consequentes. O objetivo da visita é que os preços ofertados pelas empresas r</w:t>
      </w:r>
      <w:r>
        <w:rPr>
          <w:rFonts w:ascii="Arial" w:hAnsi="Arial" w:cs="Arial"/>
          <w:sz w:val="24"/>
          <w:szCs w:val="24"/>
          <w:lang w:val="pt-BR" w:eastAsia="pt-BR" w:bidi="ar-SA"/>
        </w:rPr>
        <w:t>efl</w:t>
      </w:r>
      <w:r>
        <w:rPr>
          <w:rFonts w:ascii="Arial" w:hAnsi="Arial" w:cs="Arial"/>
          <w:sz w:val="24"/>
          <w:szCs w:val="24"/>
          <w:lang w:val="en-US" w:eastAsia="pt-BR" w:bidi="ar-SA"/>
        </w:rPr>
        <w:t>i</w:t>
      </w:r>
      <w:r>
        <w:rPr>
          <w:rFonts w:ascii="Arial" w:hAnsi="Arial" w:cs="Arial"/>
          <w:sz w:val="24"/>
          <w:szCs w:val="24"/>
          <w:lang w:val="pt-BR" w:eastAsia="pt-BR" w:bidi="ar-SA"/>
        </w:rPr>
        <w:t>t</w:t>
      </w:r>
      <w:r>
        <w:rPr>
          <w:rFonts w:ascii="Arial" w:hAnsi="Arial" w:cs="Arial"/>
          <w:sz w:val="24"/>
          <w:szCs w:val="24"/>
          <w:lang w:val="en-US" w:eastAsia="pt-BR" w:bidi="ar-SA"/>
        </w:rPr>
        <w:t>a</w:t>
      </w:r>
      <w:r>
        <w:rPr>
          <w:rFonts w:ascii="Arial" w:hAnsi="Arial" w:cs="Arial"/>
          <w:sz w:val="24"/>
          <w:szCs w:val="24"/>
          <w:lang w:val="pt-BR" w:eastAsia="pt-BR" w:bidi="ar-SA"/>
        </w:rPr>
        <w:t>m com exatidão os serviços a serem executados, evitando-se futuros pleitos de aditivos ao contrato.</w:t>
      </w:r>
    </w:p>
    <w:p>
      <w:pPr>
        <w:spacing w:after="0" w:line="360" w:lineRule="auto"/>
        <w:jc w:val="both"/>
        <w:rPr>
          <w:rFonts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ascii="Arial" w:hAnsi="Arial" w:cs="Arial"/>
          <w:sz w:val="24"/>
          <w:szCs w:val="24"/>
          <w:lang w:val="pt-BR" w:eastAsia="pt-BR" w:bidi="ar-SA"/>
        </w:rPr>
      </w:pPr>
      <w:r>
        <w:rPr>
          <w:rFonts w:ascii="Arial" w:hAnsi="Arial" w:cs="Arial"/>
          <w:sz w:val="24"/>
          <w:szCs w:val="24"/>
          <w:lang w:val="en-US" w:eastAsia="pt-BR" w:bidi="ar-SA"/>
        </w:rPr>
        <w:t>Caso queira visitar o local, o</w:t>
      </w:r>
      <w:r>
        <w:rPr>
          <w:rFonts w:ascii="Arial" w:hAnsi="Arial" w:cs="Arial"/>
          <w:sz w:val="24"/>
          <w:szCs w:val="24"/>
          <w:lang w:val="pt-BR" w:eastAsia="pt-BR" w:bidi="ar-SA"/>
        </w:rPr>
        <w:t xml:space="preserve"> licitante </w:t>
      </w:r>
      <w:r>
        <w:rPr>
          <w:rFonts w:ascii="Arial" w:hAnsi="Arial" w:cs="Arial"/>
          <w:sz w:val="24"/>
          <w:szCs w:val="24"/>
          <w:lang w:val="en-US" w:eastAsia="pt-BR" w:bidi="ar-SA"/>
        </w:rPr>
        <w:t>deve</w:t>
      </w:r>
      <w:r>
        <w:rPr>
          <w:rFonts w:ascii="Arial" w:hAnsi="Arial" w:cs="Arial"/>
          <w:sz w:val="24"/>
          <w:szCs w:val="24"/>
          <w:lang w:val="pt-BR" w:eastAsia="pt-BR" w:bidi="ar-SA"/>
        </w:rPr>
        <w:t>rá agendar junto a Secretaria de Obras no período e horários estabelecidos no Edital.</w:t>
      </w:r>
    </w:p>
    <w:p>
      <w:pPr>
        <w:spacing w:after="0" w:line="360" w:lineRule="auto"/>
        <w:jc w:val="both"/>
        <w:rPr>
          <w:rFonts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ascii="Arial" w:hAnsi="Arial" w:cs="Arial"/>
          <w:sz w:val="24"/>
          <w:szCs w:val="24"/>
          <w:lang w:val="pt-BR" w:eastAsia="pt-BR" w:bidi="ar-SA"/>
        </w:rPr>
      </w:pPr>
      <w:r>
        <w:rPr>
          <w:rFonts w:ascii="Arial" w:hAnsi="Arial" w:cs="Arial"/>
          <w:sz w:val="24"/>
          <w:szCs w:val="24"/>
          <w:lang w:val="pt-BR" w:eastAsia="pt-BR" w:bidi="ar-SA"/>
        </w:rPr>
        <w:t>As empresas participantes deverão apresentar uma declaração formal, sob as penas cabíveis</w:t>
      </w:r>
      <w:r>
        <w:rPr>
          <w:rFonts w:ascii="Arial" w:hAnsi="Arial" w:cs="Arial"/>
          <w:sz w:val="24"/>
          <w:szCs w:val="24"/>
          <w:lang w:val="en-US" w:eastAsia="pt-BR" w:bidi="ar-SA"/>
        </w:rPr>
        <w:t>,</w:t>
      </w:r>
      <w:r>
        <w:rPr>
          <w:rFonts w:ascii="Arial" w:hAnsi="Arial" w:cs="Arial"/>
          <w:sz w:val="24"/>
          <w:szCs w:val="24"/>
          <w:lang w:val="pt-BR" w:eastAsia="pt-BR" w:bidi="ar-SA"/>
        </w:rPr>
        <w:t xml:space="preserve"> de que possui pleno conhecimento das condições da execução das obras e ou serviços, bem como dispõe de instalações, pessoal especializado, maquinas e equipamentos, os quais deverão estar disponíveis nas quantidades e qualidades mínimas necessárias ao cumprimento do objetivo.</w:t>
      </w:r>
    </w:p>
    <w:p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 w:eastAsia="pt-BR" w:bidi="ar-SA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DESCRIÇÃO DOS SERVIÇOS E METOLOGIA DE TRABALHO</w:t>
      </w: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Os serviços serão realizados em rigorosa observância aos projetos e respectivos detalhes, bem como na estrita obediência às prescrições e exigências contidas em memorial descritivo, critérios de medição e planilhas orçamentarias. </w:t>
      </w:r>
    </w:p>
    <w:p>
      <w:pPr>
        <w:pStyle w:val="10"/>
        <w:spacing w:after="0" w:line="360" w:lineRule="auto"/>
        <w:ind w:left="0"/>
        <w:jc w:val="both"/>
        <w:rPr>
          <w:rFonts w:hint="default" w:ascii="Arial" w:hAnsi="Arial" w:cs="Arial"/>
          <w:sz w:val="24"/>
          <w:szCs w:val="24"/>
          <w:lang w:val="pt-BR"/>
        </w:rPr>
      </w:pPr>
    </w:p>
    <w:p>
      <w:pPr>
        <w:jc w:val="both"/>
        <w:rPr>
          <w:rFonts w:ascii="Verdana" w:hAnsi="Verdana"/>
          <w:b/>
        </w:rPr>
      </w:pPr>
      <w:r>
        <w:rPr>
          <w:rFonts w:hint="default" w:ascii="Arial" w:hAnsi="Arial" w:cs="Arial"/>
          <w:b w:val="0"/>
          <w:bCs/>
          <w:sz w:val="24"/>
          <w:szCs w:val="24"/>
          <w:lang w:val="pt-BR"/>
        </w:rPr>
        <w:t>8.1</w:t>
      </w:r>
      <w:r>
        <w:rPr>
          <w:rFonts w:hint="default" w:ascii="Arial" w:hAnsi="Arial" w:cs="Arial"/>
          <w:b w:val="0"/>
          <w:bCs/>
          <w:sz w:val="24"/>
          <w:szCs w:val="24"/>
        </w:rPr>
        <w:t>– Início dos Serviços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8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.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1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.1 - Os serviços terão início na data da emissão da ORDEM DE SERVIÇO a ser emitida pela Municipalidade e recebida pelo responsável da empresa.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jc w:val="both"/>
        <w:rPr>
          <w:rFonts w:hint="default" w:ascii="Arial" w:hAnsi="Arial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cs="Arial"/>
          <w:b w:val="0"/>
          <w:bCs/>
          <w:sz w:val="24"/>
          <w:szCs w:val="24"/>
          <w:lang w:val="pt-BR"/>
        </w:rPr>
        <w:t>8.2 – Equipe Técnica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8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.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2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.1 - A equipe técnica a ser alocada para execução dos serviços deverá ser constituída 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pelos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profissionais necessários à execução dos serviços constantes das PLANILHAS ORÇAMENTÁRIAS da SECOBR em numero e especialização compatíveis com a natureza dos serviços e o cronograma físico.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8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.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3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.2 - Quando não houver acatamento das determinações da fiscalização por parte dos prepostos e responsáveis da Contratada na obra, será facultado à fiscalização da SECOBR exigir a sua substituição por outro profissional, 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escolhido pela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Contratada.</w:t>
      </w:r>
    </w:p>
    <w:p>
      <w:pPr>
        <w:jc w:val="both"/>
        <w:rPr>
          <w:rFonts w:hint="default" w:ascii="Arial" w:hAnsi="Arial" w:cs="Arial"/>
          <w:b w:val="0"/>
          <w:bCs/>
          <w:sz w:val="24"/>
          <w:szCs w:val="24"/>
          <w:lang w:val="pt-BR"/>
        </w:rPr>
      </w:pPr>
    </w:p>
    <w:p>
      <w:pPr>
        <w:jc w:val="both"/>
        <w:rPr>
          <w:rFonts w:hint="default" w:ascii="Arial" w:hAnsi="Arial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cs="Arial"/>
          <w:b w:val="0"/>
          <w:bCs/>
          <w:sz w:val="24"/>
          <w:szCs w:val="24"/>
          <w:lang w:val="pt-BR"/>
        </w:rPr>
        <w:t>8.3 – Forma de Execução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8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.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3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.1 - Após ser dada a Ordem de Serviço à Contratada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, esta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deverá apresentar o cronograma físico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-financeiro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da obra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,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q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ue 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deverá obedecer ao prazo máximo estipulado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pel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o 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 xml:space="preserve">contrato e pelo 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cronograma indicado no anexo deste Termo de Referência.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b w:val="0"/>
          <w:bCs/>
          <w:sz w:val="24"/>
          <w:szCs w:val="24"/>
          <w:lang w:val="pt-BR"/>
        </w:rPr>
      </w:pPr>
      <w:r>
        <w:rPr>
          <w:rFonts w:hint="default" w:ascii="Arial" w:hAnsi="Arial" w:cs="Arial"/>
          <w:b w:val="0"/>
          <w:bCs/>
          <w:sz w:val="24"/>
          <w:szCs w:val="24"/>
          <w:lang w:val="pt-BR"/>
        </w:rPr>
        <w:t>8.4 - A contratada deverá instalar o canteiro próximo ao local da obra.</w:t>
      </w:r>
    </w:p>
    <w:p>
      <w:pPr>
        <w:spacing w:after="0" w:line="360" w:lineRule="auto"/>
        <w:jc w:val="both"/>
        <w:rPr>
          <w:rFonts w:hint="default" w:ascii="Arial" w:hAnsi="Arial" w:cs="Arial"/>
          <w:b w:val="0"/>
          <w:bCs/>
          <w:sz w:val="24"/>
          <w:szCs w:val="24"/>
          <w:lang w:val="pt-BR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8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.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5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- Com relação aos itens de Segurança do Trabalho, devem ser atendidas e observadas todas as Normas Regulamentadoras, pertinentes e orientações do Ministério do Trabalho durante a vigência contratual. Os operários deverão estar com Equipamentos de Proteção Individual - EPI´s adequados aos serviços que estiverem executando e, quando necessário, Equipamentos de Proteção Coletiva – EPC.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b w:val="0"/>
          <w:bCs/>
          <w:sz w:val="24"/>
          <w:szCs w:val="24"/>
          <w:lang w:val="pt-BR"/>
        </w:rPr>
        <w:t xml:space="preserve">8.6 - 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Os serviços contratados devem ser executados rigorosamente de acordo com as especificações contidas no memorial e projetos, sendo toda a mão de obra e materiais fornecidos pela Contratada. Destaca-se que serão impugnados pela fiscalização de obra, todos os trabalhos que não satisfaçam às condições técnicas e contratuais, ficando a Contratada obrigada a demolir e a refazer os trabalhos logo após a oficialização pela fiscalização, ficando por sua conta exclusiva as despesas decorrentes dessas providências. 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b w:val="0"/>
          <w:bCs/>
          <w:sz w:val="24"/>
          <w:szCs w:val="24"/>
          <w:lang w:val="pt-BR"/>
        </w:rPr>
        <w:t xml:space="preserve">8.7 - 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Os materiais a serem empregados deverão ser novos, adequados aos tipos de serviços e atenderem às especificações, projetos e planilhas inclusive as normas aplicáveis. 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8.8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- Também é de responsabilidade da Contratada o serviço de vigilância nos recintos de trabalho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 xml:space="preserve"> e em especial no canteiro de obras e deposito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, cabendo-lhe toda a responsabilidade por quaisquer danos decorrentes de negligência durante a execução das obras, até a entrega definitiva. 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8.9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- Caso seja efetuada qualquer modificação, parcial ou total, constantes nesse Termo de Referencia, proposta pela Contratante ou pela Contratada este fato não implicará em anular ou invalidar o contrato, que prevalecerá em quaisquer circunstâncias. Potenciais alterações que incorram no surgimento de serviço novo deverá ser apresentada previamente pela Contratada e analisada pela SECOBR antes do início efetivo do serviço. 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8.10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- No que se refere à mobilização e desmobilização, a Contratada deve atender aos seguintes aspectos: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 xml:space="preserve">- 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Tomar todas as providências relativas à mobilização após assinatura do contrato, de forma a poder dar início efetivo e concluir a obra dentro do prazo contratual e cronograma apresentado;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en-US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 xml:space="preserve">- 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Transporte de todos os equipamentos e materiais, para execução dos serviços contratados, até o canteiro de obra e sua posterior retirada; 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 xml:space="preserve">- 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Movimentação de todo o pessoal ligado à Contratada, em qualquer tempo, até o canteiro de obras e posterior regresso a seus locais de origem;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-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No final da obra, remover todas as instalações do Canteiro de Obras, equipamentos, detritos e restos de materiais, de modo a entregar as áreas utilizadas totalmente limpa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s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.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8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.11 – Subcontratação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en-US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8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.11.1 - 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>Não será permitido a subcontratação.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en-US" w:eastAsia="pt-BR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en-US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 xml:space="preserve">8.11.2 - É motivo para rescisão contratual 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a subcontratação total ou parcial do seu objeto, a associação do contratado com outrem, a cessão ou transferência, total ou parcial, bem como a fusão, cisão ou incorporação, não admitidas no edital e no contrato.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 xml:space="preserve"> 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en-US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en-US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en-US" w:bidi="ar-SA"/>
        </w:rPr>
      </w:pP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en-US" w:bidi="ar-SA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DA ESTIMATIVA DE VALORES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9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.1 - </w:t>
      </w:r>
      <w:r>
        <w:rPr>
          <w:rFonts w:ascii="Arial" w:hAnsi="Arial" w:eastAsia="Calibri" w:cs="Arial"/>
          <w:sz w:val="24"/>
          <w:szCs w:val="24"/>
          <w:lang w:val="pt-BR" w:eastAsia="pt-BR" w:bidi="ar-SA"/>
        </w:rPr>
        <w:t xml:space="preserve">O valor total é de </w:t>
      </w:r>
      <w:r>
        <w:rPr>
          <w:rFonts w:ascii="Arial" w:hAnsi="Arial" w:cs="Arial"/>
          <w:sz w:val="24"/>
          <w:szCs w:val="24"/>
          <w:lang w:eastAsia="zh-CN"/>
        </w:rPr>
        <w:t xml:space="preserve">R$ </w:t>
      </w:r>
      <w:r>
        <w:rPr>
          <w:rFonts w:hint="default" w:ascii="Arial" w:hAnsi="Arial" w:eastAsia="LiberationSerif-Bold"/>
          <w:b w:val="0"/>
          <w:bCs/>
          <w:color w:val="auto"/>
          <w:sz w:val="24"/>
          <w:szCs w:val="24"/>
          <w:highlight w:val="none"/>
          <w:lang w:val="pt-BR"/>
        </w:rPr>
        <w:t xml:space="preserve">828.591,60 </w:t>
      </w:r>
      <w:r>
        <w:rPr>
          <w:rFonts w:hint="default" w:ascii="Arial" w:hAnsi="Arial" w:eastAsia="LiberationSerif-Bold" w:cs="Arial"/>
          <w:b w:val="0"/>
          <w:bCs/>
          <w:color w:val="auto"/>
          <w:sz w:val="24"/>
          <w:szCs w:val="24"/>
          <w:highlight w:val="none"/>
          <w:lang w:val="pt-BR"/>
        </w:rPr>
        <w:t>(oitocentos e vinte e oito mil quinhentos e noventa e um reais e sessenta centavos)</w:t>
      </w:r>
      <w:r>
        <w:rPr>
          <w:rFonts w:ascii="Arial" w:hAnsi="Arial" w:eastAsia="Calibri" w:cs="Arial"/>
          <w:sz w:val="24"/>
          <w:szCs w:val="24"/>
          <w:lang w:val="pt-BR" w:eastAsia="pt-BR" w:bidi="ar-SA"/>
        </w:rPr>
        <w:t>, conforme indicado na Planilha Orçamentária integrante do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 xml:space="preserve"> ETP (Estudo Tecnico Preliminar).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 xml:space="preserve"> 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pt-BR" w:bidi="ar-SA"/>
        </w:rPr>
      </w:pPr>
    </w:p>
    <w:p>
      <w:pPr>
        <w:pStyle w:val="16"/>
        <w:spacing w:after="0" w:line="360" w:lineRule="auto"/>
        <w:ind w:left="0" w:leftChars="0" w:firstLine="0" w:firstLineChars="0"/>
        <w:jc w:val="both"/>
        <w:rPr>
          <w:rFonts w:hint="default" w:ascii="Arial" w:hAnsi="Arial"/>
          <w:sz w:val="24"/>
          <w:szCs w:val="24"/>
          <w:highlight w:val="none"/>
          <w:lang w:val="en-US" w:eastAsia="pt-BR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>9</w:t>
      </w:r>
      <w:r>
        <w:rPr>
          <w:rFonts w:hint="default" w:ascii="Arial" w:hAnsi="Arial" w:cs="Arial"/>
          <w:sz w:val="24"/>
          <w:szCs w:val="24"/>
          <w:lang w:val="pt-BR" w:eastAsia="pt-BR" w:bidi="ar-SA"/>
        </w:rPr>
        <w:t>.2 -</w:t>
      </w:r>
      <w:r>
        <w:rPr>
          <w:rFonts w:hint="default" w:ascii="Arial" w:hAnsi="Arial" w:cs="Arial"/>
          <w:sz w:val="24"/>
          <w:szCs w:val="24"/>
          <w:lang w:val="en-US" w:eastAsia="pt-BR" w:bidi="ar-SA"/>
        </w:rPr>
        <w:t xml:space="preserve"> </w:t>
      </w:r>
      <w:r>
        <w:rPr>
          <w:rFonts w:ascii="Arial" w:hAnsi="Arial" w:cs="Arial"/>
          <w:sz w:val="24"/>
          <w:szCs w:val="24"/>
          <w:lang w:eastAsia="pt-BR"/>
        </w:rPr>
        <w:t>Para a composição dos preços unitários, foi utilizad</w:t>
      </w:r>
      <w:r>
        <w:rPr>
          <w:rFonts w:hint="default" w:ascii="Arial" w:hAnsi="Arial" w:cs="Arial"/>
          <w:sz w:val="24"/>
          <w:szCs w:val="24"/>
          <w:lang w:val="en-US" w:eastAsia="pt-BR"/>
        </w:rPr>
        <w:t>o</w:t>
      </w:r>
      <w:r>
        <w:rPr>
          <w:rFonts w:ascii="Arial" w:hAnsi="Arial" w:cs="Arial"/>
          <w:sz w:val="24"/>
          <w:szCs w:val="24"/>
          <w:lang w:eastAsia="pt-BR"/>
        </w:rPr>
        <w:t xml:space="preserve"> </w:t>
      </w:r>
      <w:r>
        <w:rPr>
          <w:rFonts w:hint="default" w:ascii="Arial" w:hAnsi="Arial" w:cs="Arial"/>
          <w:sz w:val="24"/>
          <w:szCs w:val="24"/>
          <w:lang w:val="en-US" w:eastAsia="pt-BR"/>
        </w:rPr>
        <w:t>o</w:t>
      </w:r>
      <w:r>
        <w:rPr>
          <w:rFonts w:ascii="Arial" w:hAnsi="Arial" w:cs="Arial"/>
          <w:sz w:val="24"/>
          <w:szCs w:val="24"/>
          <w:lang w:eastAsia="pt-BR"/>
        </w:rPr>
        <w:t xml:space="preserve"> </w:t>
      </w:r>
      <w:r>
        <w:rPr>
          <w:rFonts w:hint="default" w:ascii="Arial" w:hAnsi="Arial" w:cs="Arial"/>
          <w:sz w:val="24"/>
          <w:szCs w:val="24"/>
          <w:lang w:val="en-US" w:eastAsia="pt-BR"/>
        </w:rPr>
        <w:t>referencial IOPES 01/2022,</w:t>
      </w:r>
      <w:r>
        <w:rPr>
          <w:rFonts w:ascii="Arial" w:hAnsi="Arial" w:cs="Arial"/>
          <w:sz w:val="24"/>
          <w:szCs w:val="24"/>
          <w:lang w:eastAsia="pt-BR"/>
        </w:rPr>
        <w:t xml:space="preserve"> 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highlight w:val="none"/>
          <w:lang w:val="pt-BR"/>
        </w:rPr>
        <w:t>c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om desoneração</w:t>
      </w:r>
      <w:r>
        <w:rPr>
          <w:rFonts w:ascii="Arial" w:hAnsi="Arial" w:cs="Arial"/>
          <w:sz w:val="24"/>
          <w:szCs w:val="24"/>
          <w:highlight w:val="none"/>
          <w:lang w:eastAsia="pt-BR"/>
        </w:rPr>
        <w:t xml:space="preserve">, BDI de </w:t>
      </w:r>
      <w:r>
        <w:rPr>
          <w:rFonts w:hint="default" w:ascii="Arial" w:hAnsi="Arial" w:cs="Arial"/>
          <w:sz w:val="24"/>
          <w:szCs w:val="24"/>
          <w:highlight w:val="none"/>
          <w:lang w:val="en-US" w:eastAsia="pt-BR"/>
        </w:rPr>
        <w:t>31,96</w:t>
      </w:r>
      <w:r>
        <w:rPr>
          <w:rFonts w:ascii="Arial" w:hAnsi="Arial" w:cs="Arial"/>
          <w:sz w:val="24"/>
          <w:szCs w:val="24"/>
          <w:highlight w:val="none"/>
          <w:lang w:eastAsia="pt-BR"/>
        </w:rPr>
        <w:t>%</w:t>
      </w:r>
      <w:r>
        <w:rPr>
          <w:rFonts w:hint="default" w:ascii="Arial" w:hAnsi="Arial" w:cs="Arial"/>
          <w:sz w:val="24"/>
          <w:szCs w:val="24"/>
          <w:highlight w:val="none"/>
          <w:lang w:val="en-US" w:eastAsia="pt-BR"/>
        </w:rPr>
        <w:t>,</w:t>
      </w:r>
      <w:r>
        <w:rPr>
          <w:rFonts w:ascii="Arial" w:hAnsi="Arial" w:cs="Arial"/>
          <w:sz w:val="24"/>
          <w:szCs w:val="24"/>
          <w:highlight w:val="none"/>
          <w:lang w:eastAsia="pt-BR"/>
        </w:rPr>
        <w:t xml:space="preserve"> 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highlight w:val="none"/>
          <w:lang w:val="pt-BR"/>
        </w:rPr>
        <w:t>do DER-ES (Edificações) junho de 2021</w:t>
      </w:r>
      <w:r>
        <w:rPr>
          <w:rFonts w:hint="default" w:ascii="Arial" w:hAnsi="Arial" w:eastAsia="LiberationSerif-Bold" w:cs="Arial"/>
          <w:b w:val="0"/>
          <w:bCs/>
          <w:sz w:val="24"/>
          <w:szCs w:val="24"/>
          <w:lang w:val="pt-BR"/>
        </w:rPr>
        <w:t>.</w:t>
      </w:r>
    </w:p>
    <w:p>
      <w:pPr>
        <w:pStyle w:val="10"/>
        <w:numPr>
          <w:ilvl w:val="0"/>
          <w:numId w:val="0"/>
        </w:num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en-US" w:eastAsia="pt-BR" w:bidi="ar-SA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444" w:leftChars="0" w:hanging="444" w:firstLineChars="0"/>
        <w:jc w:val="both"/>
        <w:rPr>
          <w:rFonts w:ascii="Arial" w:hAnsi="Arial" w:cs="Arial"/>
          <w:b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val="en-US" w:eastAsia="pt-BR" w:bidi="ar-SA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PROCEDIMENTOS </w:t>
      </w:r>
      <w:r>
        <w:rPr>
          <w:rFonts w:ascii="Arial" w:hAnsi="Arial" w:cs="Arial"/>
          <w:b/>
          <w:sz w:val="24"/>
          <w:szCs w:val="24"/>
          <w:lang w:val="pt-BR"/>
        </w:rPr>
        <w:t>E CRITÉRIOS PARA REAJUSTAMENTO DO CONTRATO</w:t>
      </w:r>
    </w:p>
    <w:p>
      <w:pPr>
        <w:spacing w:after="0" w:line="360" w:lineRule="auto"/>
        <w:jc w:val="both"/>
        <w:rPr>
          <w:rFonts w:hint="default" w:ascii="Arial" w:hAnsi="Arial" w:cs="Arial"/>
          <w:sz w:val="24"/>
          <w:szCs w:val="24"/>
          <w:lang w:val="pt-BR" w:eastAsia="en-US" w:bidi="ar-SA"/>
        </w:rPr>
      </w:pPr>
      <w:r>
        <w:rPr>
          <w:rFonts w:hint="default" w:ascii="Arial" w:hAnsi="Arial" w:cs="Arial"/>
          <w:sz w:val="24"/>
          <w:szCs w:val="24"/>
          <w:lang w:val="pt-BR" w:eastAsia="en-US" w:bidi="ar-SA"/>
        </w:rPr>
        <w:t>Não haverá reajustamento do preço contratado. Caso o prazo contratual inicialmente fixado seja prorrogado, nas hipóteses do art. 57, da Lei 8.666/93, ultrapassando o período de vigência de 1 (um) ano, contados a partir da data limite de apresentação da proposta, poderá ser concedido reajuste ao preço contratado, mediante requerimento escrito. Entretanto, o reajustamento fica subordinado à Legislação Federal em vigor vinculado ao índice do INCC (Índice Nacional da Construção Civil).</w:t>
      </w:r>
    </w:p>
    <w:p>
      <w:pPr>
        <w:spacing w:after="0" w:line="360" w:lineRule="auto"/>
        <w:jc w:val="both"/>
        <w:rPr>
          <w:rFonts w:hint="default" w:ascii="Verdana" w:hAnsi="Verdana" w:eastAsia="Calibri" w:cs="Times New Roman"/>
          <w:sz w:val="22"/>
          <w:szCs w:val="22"/>
          <w:lang w:val="pt-BR" w:eastAsia="en-US" w:bidi="ar-SA"/>
        </w:rPr>
      </w:pPr>
      <w:r>
        <w:rPr>
          <w:rFonts w:hint="default" w:ascii="Arial" w:hAnsi="Arial" w:cs="Arial"/>
          <w:sz w:val="24"/>
          <w:szCs w:val="24"/>
          <w:lang w:val="pt-BR" w:eastAsia="en-US" w:bidi="ar-SA"/>
        </w:rPr>
        <w:t xml:space="preserve">Dessa forma, o primeiro reajuste deve levar em conta o índice do INCC acumulado nos 12 meses, contados a partir da data de apresentação da proposta. 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br w:type="textWrapping"/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Consequentemente, as parcelas do contrato pagas desde a data da apresentação das propostas da licitação até o 12º mês depois desta data-base não podem sofrer reajustes.</w:t>
      </w:r>
      <w:r>
        <w:rPr>
          <w:rFonts w:hint="default" w:ascii="Verdana" w:hAnsi="Verdana" w:eastAsia="Calibri" w:cs="Times New Roman"/>
          <w:sz w:val="22"/>
          <w:szCs w:val="22"/>
          <w:lang w:val="pt-BR" w:eastAsia="en-US" w:bidi="ar-SA"/>
        </w:rPr>
        <w:br w:type="textWrapping"/>
      </w:r>
    </w:p>
    <w:p>
      <w:pPr>
        <w:spacing w:after="0" w:line="360" w:lineRule="auto"/>
        <w:jc w:val="both"/>
        <w:rPr>
          <w:rFonts w:hint="default" w:ascii="Verdana" w:hAnsi="Verdana" w:eastAsia="Calibri" w:cs="Times New Roman"/>
          <w:sz w:val="22"/>
          <w:szCs w:val="22"/>
          <w:lang w:val="pt-BR" w:eastAsia="en-US" w:bidi="ar-SA"/>
        </w:rPr>
      </w:pPr>
    </w:p>
    <w:p>
      <w:pPr>
        <w:pStyle w:val="10"/>
        <w:numPr>
          <w:ilvl w:val="0"/>
          <w:numId w:val="3"/>
        </w:numPr>
        <w:spacing w:after="0" w:line="360" w:lineRule="auto"/>
        <w:ind w:left="420" w:leftChars="0" w:hanging="420" w:firstLineChars="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Critério de Reajustamento:</w:t>
      </w: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 xml:space="preserve">     </w:t>
      </w:r>
    </w:p>
    <w:p>
      <w:pPr>
        <w:pStyle w:val="10"/>
        <w:spacing w:after="0" w:line="360" w:lineRule="auto"/>
        <w:ind w:left="0"/>
        <w:jc w:val="center"/>
        <w:rPr>
          <w:rFonts w:ascii="Arial" w:hAnsi="Arial" w:cs="Arial"/>
          <w:position w:val="-10"/>
          <w:sz w:val="24"/>
          <w:szCs w:val="24"/>
          <w:lang w:val="pt-BR"/>
        </w:rPr>
      </w:pPr>
      <w:r>
        <w:rPr>
          <w:rFonts w:ascii="Arial" w:hAnsi="Arial" w:cs="Arial"/>
          <w:position w:val="-10"/>
          <w:sz w:val="24"/>
          <w:szCs w:val="24"/>
          <w:lang w:val="pt-BR"/>
        </w:rPr>
        <w:object>
          <v:shape id="_x0000_i1025" o:spt="75" type="#_x0000_t75" style="height:16pt;width:48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8">
            <o:LockedField>false</o:LockedField>
          </o:OLEObject>
        </w:object>
      </w:r>
    </w:p>
    <w:p>
      <w:pPr>
        <w:pStyle w:val="10"/>
        <w:spacing w:after="0" w:line="360" w:lineRule="auto"/>
        <w:ind w:left="0"/>
        <w:jc w:val="center"/>
        <w:rPr>
          <w:rFonts w:ascii="Arial" w:hAnsi="Arial" w:cs="Arial"/>
          <w:position w:val="-10"/>
          <w:sz w:val="24"/>
          <w:szCs w:val="24"/>
          <w:lang w:val="pt-BR"/>
        </w:rPr>
      </w:pPr>
    </w:p>
    <w:p>
      <w:pPr>
        <w:pStyle w:val="10"/>
        <w:spacing w:after="0" w:line="360" w:lineRule="auto"/>
        <w:ind w:left="0"/>
        <w:jc w:val="both"/>
        <w:rPr>
          <w:rFonts w:hint="default"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 xml:space="preserve">Onde: k = </w:t>
      </w:r>
      <w:r>
        <w:rPr>
          <w:rFonts w:hint="default" w:ascii="Arial" w:hAnsi="Arial" w:cs="Arial"/>
          <w:sz w:val="24"/>
          <w:szCs w:val="24"/>
          <w:lang w:val="pt-BR"/>
        </w:rPr>
        <w:t>P</w:t>
      </w:r>
      <w:r>
        <w:rPr>
          <w:rFonts w:ascii="Arial" w:hAnsi="Arial" w:cs="Arial"/>
          <w:sz w:val="24"/>
          <w:szCs w:val="24"/>
          <w:lang w:val="pt-BR"/>
        </w:rPr>
        <w:t>ercentual acumulado do índice</w:t>
      </w:r>
      <w:r>
        <w:rPr>
          <w:rFonts w:hint="default" w:ascii="Arial" w:hAnsi="Arial" w:cs="Arial"/>
          <w:sz w:val="24"/>
          <w:szCs w:val="24"/>
          <w:lang w:val="pt-BR"/>
        </w:rPr>
        <w:t xml:space="preserve"> INCC do periodo de apresentação da proposta até o mês de aniversario do reajustamento;</w:t>
      </w: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 xml:space="preserve">           R = Valor da medição reajustado;</w:t>
      </w: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 xml:space="preserve">           M = Medição com valores da apresentação da proposta de licitação.</w:t>
      </w: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 w:leftChars="0" w:hanging="360" w:firstLineChars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PROCEDIMENTOS DE FISCALIZAÇÃO</w:t>
      </w:r>
      <w:r>
        <w:rPr>
          <w:rFonts w:ascii="Arial" w:hAnsi="Arial" w:cs="Arial"/>
          <w:b/>
          <w:position w:val="-10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position w:val="-24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GERENCIAMENTO</w:t>
      </w: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hint="default" w:ascii="Arial" w:hAnsi="Arial" w:cs="Arial"/>
          <w:sz w:val="24"/>
          <w:szCs w:val="24"/>
          <w:lang w:val="pt-BR"/>
        </w:rPr>
        <w:t>Para fiscalização e aprovação dos projetos, deverá ser criado uma equipe multidisciplinar com profissionais da SECPLA, SECURB, SECOBR e SECMAM para avaliação do projeto, correção e análise quanto a todas as questões envolvidas no mesmo, visto que o projeto é de complexidade alta e envolve todos os setores citados</w:t>
      </w:r>
      <w:r>
        <w:rPr>
          <w:rFonts w:ascii="Arial" w:hAnsi="Arial" w:cs="Arial"/>
          <w:sz w:val="24"/>
          <w:szCs w:val="24"/>
          <w:lang w:val="pt-BR"/>
        </w:rPr>
        <w:t>.</w:t>
      </w: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FORMA DE PAGAMENTO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As medições serão feitas de acordo com o seguinte procedimento: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</w:p>
    <w:p>
      <w:pPr>
        <w:numPr>
          <w:ilvl w:val="0"/>
          <w:numId w:val="4"/>
        </w:num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Apresentação da medição pela contratada à Secretaria Municipal de Obras e Infraestrutura, devidamente protocolada, contendo:</w:t>
      </w:r>
    </w:p>
    <w:p>
      <w:pPr>
        <w:numPr>
          <w:ilvl w:val="0"/>
          <w:numId w:val="0"/>
        </w:num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cs="Arial"/>
          <w:sz w:val="24"/>
          <w:szCs w:val="24"/>
          <w:lang w:val="pt-BR" w:eastAsia="en-US" w:bidi="ar-SA"/>
        </w:rPr>
        <w:t>1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. 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Boletim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da medição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 xml:space="preserve"> solicitada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;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cs="Arial"/>
          <w:sz w:val="24"/>
          <w:szCs w:val="24"/>
          <w:lang w:val="pt-BR" w:eastAsia="en-US" w:bidi="ar-SA"/>
        </w:rPr>
        <w:t>2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. Relatório fotográfico;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cs="Arial"/>
          <w:sz w:val="24"/>
          <w:szCs w:val="24"/>
          <w:lang w:val="pt-BR" w:eastAsia="en-US" w:bidi="ar-SA"/>
        </w:rPr>
        <w:t>3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. Cronograma físico financeiro atualizado;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cs="Arial"/>
          <w:sz w:val="24"/>
          <w:szCs w:val="24"/>
          <w:lang w:val="pt-BR" w:eastAsia="en-US" w:bidi="ar-SA"/>
        </w:rPr>
        <w:t>4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. Diário de obras 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( do período valido da medição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);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cs="Arial"/>
          <w:sz w:val="24"/>
          <w:szCs w:val="24"/>
          <w:lang w:val="pt-BR" w:eastAsia="en-US" w:bidi="ar-SA"/>
        </w:rPr>
        <w:t>5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. Relatórios de ensaios do controle geotécnico quando for o caso;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b) Caso falte algum dos documentos citados no item anterior na entrega da medição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,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esta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será devolvida 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à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Contratada para seus devidos acertos e complementações;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</w:p>
    <w:p>
      <w:pPr>
        <w:numPr>
          <w:ilvl w:val="0"/>
          <w:numId w:val="2"/>
        </w:numPr>
        <w:spacing w:after="0" w:line="360" w:lineRule="auto"/>
        <w:ind w:left="0" w:leftChars="0" w:firstLine="0" w:firstLineChars="0"/>
        <w:jc w:val="both"/>
        <w:rPr>
          <w:rFonts w:hint="default" w:ascii="Arial" w:hAnsi="Arial" w:cs="Arial"/>
          <w:sz w:val="24"/>
          <w:szCs w:val="24"/>
          <w:lang w:val="pt-BR"/>
        </w:rPr>
      </w:pP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O prazo para a 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liquidação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da medição dependerá 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da entrega de toda a documentação comprobatório de regularidade fiscal e trabalhista por parte da empresa;</w:t>
      </w:r>
    </w:p>
    <w:p>
      <w:pPr>
        <w:numPr>
          <w:ilvl w:val="0"/>
          <w:numId w:val="0"/>
        </w:numPr>
        <w:spacing w:after="0" w:line="360" w:lineRule="auto"/>
        <w:ind w:leftChars="0"/>
        <w:jc w:val="both"/>
        <w:rPr>
          <w:rFonts w:hint="default" w:ascii="Arial" w:hAnsi="Arial" w:cs="Arial"/>
          <w:sz w:val="24"/>
          <w:szCs w:val="24"/>
          <w:lang w:val="pt-BR"/>
        </w:rPr>
      </w:pPr>
    </w:p>
    <w:p>
      <w:pPr>
        <w:numPr>
          <w:ilvl w:val="0"/>
          <w:numId w:val="2"/>
        </w:numPr>
        <w:spacing w:after="0" w:line="360" w:lineRule="auto"/>
        <w:ind w:left="0" w:leftChars="0" w:firstLine="0" w:firstLineChars="0"/>
        <w:jc w:val="both"/>
        <w:rPr>
          <w:rFonts w:hint="default" w:ascii="Arial" w:hAnsi="Arial" w:cs="Arial"/>
          <w:sz w:val="24"/>
          <w:szCs w:val="24"/>
          <w:lang w:val="pt-BR"/>
        </w:rPr>
      </w:pPr>
      <w:r>
        <w:rPr>
          <w:rFonts w:hint="default" w:ascii="Arial" w:hAnsi="Arial" w:cs="Arial"/>
          <w:sz w:val="24"/>
          <w:szCs w:val="24"/>
          <w:lang w:val="pt-BR"/>
        </w:rPr>
        <w:t>A Municipalidade após ateste da medição e de toda a documentação comprobatório de regularidade fiscal e trabalhista tem até 30 dias para realizar a devida liquidação da Nota Fiscal, salvo em caso de calamidade pública, grave perturbação da ordem interna ou guerra.</w:t>
      </w:r>
    </w:p>
    <w:p>
      <w:pPr>
        <w:numPr>
          <w:ilvl w:val="0"/>
          <w:numId w:val="0"/>
        </w:numPr>
        <w:spacing w:after="0" w:line="360" w:lineRule="auto"/>
        <w:ind w:leftChars="0"/>
        <w:jc w:val="both"/>
        <w:rPr>
          <w:rFonts w:hint="default" w:ascii="Arial" w:hAnsi="Arial" w:cs="Arial"/>
          <w:sz w:val="24"/>
          <w:szCs w:val="24"/>
          <w:lang w:val="pt-BR"/>
        </w:rPr>
      </w:pPr>
    </w:p>
    <w:p>
      <w:pPr>
        <w:numPr>
          <w:ilvl w:val="0"/>
          <w:numId w:val="2"/>
        </w:numPr>
        <w:spacing w:after="0" w:line="360" w:lineRule="auto"/>
        <w:ind w:left="0" w:leftChars="0" w:firstLine="0" w:firstLineChars="0"/>
        <w:jc w:val="both"/>
        <w:rPr>
          <w:rFonts w:hint="default" w:ascii="Arial" w:hAnsi="Arial" w:cs="Arial"/>
          <w:sz w:val="24"/>
          <w:szCs w:val="24"/>
          <w:lang w:val="pt-BR"/>
        </w:rPr>
      </w:pPr>
      <w:r>
        <w:rPr>
          <w:rFonts w:hint="default" w:ascii="Arial" w:hAnsi="Arial" w:cs="Arial"/>
          <w:sz w:val="24"/>
          <w:szCs w:val="24"/>
          <w:lang w:val="pt-BR"/>
        </w:rPr>
        <w:t>Para a Primeira medição será exigida a apresentação alem das documentações comprobatórios de regularidade fiscal da empresa, a apresentação do CNO - Cadastro Nacional de Obras, referente ao empreendimento contratado e da ART/RRT de execução do empreendimento do responsável técnico da empresa.</w:t>
      </w:r>
    </w:p>
    <w:p>
      <w:pPr>
        <w:numPr>
          <w:ilvl w:val="0"/>
          <w:numId w:val="0"/>
        </w:numPr>
        <w:spacing w:after="0" w:line="360" w:lineRule="auto"/>
        <w:ind w:leftChars="0"/>
        <w:jc w:val="both"/>
        <w:rPr>
          <w:rFonts w:hint="default" w:ascii="Arial" w:hAnsi="Arial" w:cs="Arial"/>
          <w:sz w:val="24"/>
          <w:szCs w:val="24"/>
          <w:lang w:val="pt-BR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MODALIDADE DE AQUISIÇÃO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A Municipalidade decidiu por questões operacionais e técnicas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 xml:space="preserve"> que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o regime 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 xml:space="preserve">de empreitada 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por preço unitário é o que melhor atende aos seus interesses.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Será considerada mais vantajosa a proposta da empresa que oferecer o menor preço. 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As propostas terão validade de 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60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(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sessenta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) dias, contados da data de abertura da sessão pública estabelecida no Edital.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Os preços unitários informados pela Municipalidade são considerados como máximos, devendo portanto a planilha orçamentaria da empresa possuir valores inferiores ou igua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is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ao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s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orçado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s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pela Municipalidade.</w:t>
      </w: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DAS SANÇÕES ADMINISTRATIVAS</w:t>
      </w: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</w:rPr>
        <w:t>A serem estabelecidas</w:t>
      </w:r>
      <w:r>
        <w:rPr>
          <w:rFonts w:ascii="Arial" w:hAnsi="Arial" w:cs="Arial"/>
          <w:sz w:val="24"/>
          <w:szCs w:val="24"/>
          <w:lang w:val="pt-BR"/>
        </w:rPr>
        <w:t xml:space="preserve">  conforme contrato padrão da prefeitura.</w:t>
      </w:r>
    </w:p>
    <w:p>
      <w:pPr>
        <w:pStyle w:val="10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DOS CRIT</w:t>
      </w:r>
      <w:r>
        <w:rPr>
          <w:rFonts w:ascii="Arial" w:hAnsi="Arial" w:cs="Arial"/>
          <w:b/>
          <w:sz w:val="24"/>
          <w:szCs w:val="24"/>
          <w:lang w:val="pt-BR"/>
        </w:rPr>
        <w:t>É</w:t>
      </w:r>
      <w:r>
        <w:rPr>
          <w:rFonts w:ascii="Arial" w:hAnsi="Arial" w:cs="Arial"/>
          <w:b/>
          <w:sz w:val="24"/>
          <w:szCs w:val="24"/>
        </w:rPr>
        <w:t>RIOS DE ACEITABILIDADE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  <w:r>
        <w:rPr>
          <w:rFonts w:hint="default" w:ascii="Arial" w:hAnsi="Arial" w:cs="Arial"/>
          <w:sz w:val="24"/>
          <w:szCs w:val="24"/>
          <w:lang w:val="pt-BR" w:eastAsia="en-US" w:bidi="ar-SA"/>
        </w:rPr>
        <w:t>Os Projetos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deverão ser 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entregues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em duas vias em físicas e uma via digital,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ao fim dos serviços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,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 serão atestadas através d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a aprovação do Fiscal de Contrato, juntamente com a equipe formada</w:t>
      </w:r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 xml:space="preserve">. Prazo de </w:t>
      </w:r>
      <w:r>
        <w:rPr>
          <w:rFonts w:hint="default" w:ascii="Arial" w:hAnsi="Arial" w:cs="Arial"/>
          <w:sz w:val="24"/>
          <w:szCs w:val="24"/>
          <w:lang w:val="pt-BR" w:eastAsia="en-US" w:bidi="ar-SA"/>
        </w:rPr>
        <w:t>dez dias uteis para resposta após apresentação dos projetos por parte da comissão avaliadora</w:t>
      </w:r>
      <w:bookmarkStart w:id="0" w:name="_GoBack"/>
      <w:bookmarkEnd w:id="0"/>
      <w:r>
        <w:rPr>
          <w:rFonts w:hint="default" w:ascii="Arial" w:hAnsi="Arial" w:eastAsia="Calibri" w:cs="Arial"/>
          <w:sz w:val="24"/>
          <w:szCs w:val="24"/>
          <w:lang w:val="pt-BR" w:eastAsia="en-US" w:bidi="ar-SA"/>
        </w:rPr>
        <w:t>.</w:t>
      </w: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</w:p>
    <w:p>
      <w:pPr>
        <w:spacing w:after="0" w:line="360" w:lineRule="auto"/>
        <w:jc w:val="both"/>
        <w:rPr>
          <w:rFonts w:hint="default" w:ascii="Arial" w:hAnsi="Arial" w:eastAsia="Calibri" w:cs="Arial"/>
          <w:sz w:val="24"/>
          <w:szCs w:val="24"/>
          <w:lang w:val="pt-BR" w:eastAsia="en-US" w:bidi="ar-SA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 w:hanging="357"/>
        <w:jc w:val="both"/>
        <w:rPr>
          <w:rFonts w:ascii="Arial" w:hAnsi="Arial" w:cs="Arial"/>
          <w:b/>
          <w:sz w:val="24"/>
          <w:szCs w:val="24"/>
          <w:highlight w:val="none"/>
        </w:rPr>
      </w:pPr>
      <w:r>
        <w:rPr>
          <w:rFonts w:ascii="Arial" w:hAnsi="Arial" w:cs="Arial"/>
          <w:b/>
          <w:sz w:val="24"/>
          <w:szCs w:val="24"/>
          <w:highlight w:val="none"/>
        </w:rPr>
        <w:t>RESPONSÁVEL PELA FISCALIZAÇÃO DO CONTRATO</w:t>
      </w:r>
    </w:p>
    <w:p>
      <w:pPr>
        <w:spacing w:after="0" w:line="360" w:lineRule="auto"/>
        <w:jc w:val="both"/>
        <w:rPr>
          <w:rFonts w:ascii="Arial" w:hAnsi="Arial" w:cs="Arial"/>
          <w:color w:val="FF0000"/>
          <w:sz w:val="24"/>
          <w:szCs w:val="24"/>
          <w:highlight w:val="none"/>
        </w:rPr>
      </w:pPr>
    </w:p>
    <w:p>
      <w:pPr>
        <w:spacing w:after="0" w:line="360" w:lineRule="auto"/>
        <w:jc w:val="both"/>
        <w:rPr>
          <w:rFonts w:ascii="Arial" w:hAnsi="Arial" w:cs="Arial"/>
          <w:color w:val="auto"/>
          <w:sz w:val="24"/>
          <w:szCs w:val="24"/>
          <w:highlight w:val="none"/>
        </w:rPr>
      </w:pPr>
      <w:r>
        <w:rPr>
          <w:rFonts w:ascii="Arial" w:hAnsi="Arial" w:cs="Arial"/>
          <w:color w:val="auto"/>
          <w:sz w:val="24"/>
          <w:szCs w:val="24"/>
          <w:highlight w:val="none"/>
        </w:rPr>
        <w:t xml:space="preserve">Fica indicado o </w:t>
      </w:r>
      <w:r>
        <w:rPr>
          <w:rFonts w:ascii="Arial" w:hAnsi="Arial" w:cs="Arial"/>
          <w:color w:val="auto"/>
          <w:sz w:val="24"/>
          <w:szCs w:val="24"/>
          <w:highlight w:val="none"/>
          <w:lang w:val="pt-BR"/>
        </w:rPr>
        <w:t xml:space="preserve">servidor </w:t>
      </w:r>
      <w:r>
        <w:rPr>
          <w:rFonts w:hint="default" w:ascii="Arial" w:hAnsi="Arial" w:cs="Arial"/>
          <w:color w:val="auto"/>
          <w:sz w:val="24"/>
          <w:szCs w:val="24"/>
          <w:highlight w:val="none"/>
          <w:lang w:val="pt-BR"/>
        </w:rPr>
        <w:t>Lara Discher</w:t>
      </w:r>
      <w:r>
        <w:rPr>
          <w:rFonts w:ascii="Arial" w:hAnsi="Arial" w:cs="Arial"/>
          <w:color w:val="auto"/>
          <w:sz w:val="24"/>
          <w:szCs w:val="24"/>
          <w:highlight w:val="none"/>
        </w:rPr>
        <w:t>,</w:t>
      </w:r>
      <w:r>
        <w:rPr>
          <w:rFonts w:ascii="Arial" w:hAnsi="Arial" w:cs="Arial"/>
          <w:color w:val="auto"/>
          <w:sz w:val="24"/>
          <w:szCs w:val="24"/>
          <w:highlight w:val="none"/>
          <w:lang w:val="pt-BR"/>
        </w:rPr>
        <w:t xml:space="preserve"> </w:t>
      </w:r>
      <w:r>
        <w:rPr>
          <w:rFonts w:hint="default" w:ascii="Arial" w:hAnsi="Arial" w:cs="Arial"/>
          <w:color w:val="auto"/>
          <w:sz w:val="24"/>
          <w:szCs w:val="24"/>
          <w:highlight w:val="none"/>
          <w:lang w:val="pt-BR"/>
        </w:rPr>
        <w:t>Coordenador</w:t>
      </w:r>
      <w:r>
        <w:rPr>
          <w:rFonts w:ascii="Arial" w:hAnsi="Arial" w:cs="Arial"/>
          <w:color w:val="auto"/>
          <w:sz w:val="24"/>
          <w:szCs w:val="24"/>
          <w:highlight w:val="none"/>
          <w:lang w:val="pt-BR"/>
        </w:rPr>
        <w:t>,</w:t>
      </w:r>
      <w:r>
        <w:rPr>
          <w:rFonts w:hint="default" w:ascii="Arial" w:hAnsi="Arial" w:cs="Arial"/>
          <w:color w:val="auto"/>
          <w:sz w:val="24"/>
          <w:szCs w:val="24"/>
          <w:highlight w:val="none"/>
          <w:lang w:val="pt-BR"/>
        </w:rPr>
        <w:t xml:space="preserve"> matricula 055087</w:t>
      </w:r>
      <w:r>
        <w:rPr>
          <w:rFonts w:ascii="Arial" w:hAnsi="Arial" w:cs="Arial"/>
          <w:color w:val="auto"/>
          <w:sz w:val="24"/>
          <w:szCs w:val="24"/>
          <w:highlight w:val="none"/>
        </w:rPr>
        <w:t xml:space="preserve"> como fiscal do contrato</w:t>
      </w:r>
      <w:r>
        <w:rPr>
          <w:rFonts w:ascii="Arial" w:hAnsi="Arial" w:cs="Arial"/>
          <w:color w:val="auto"/>
          <w:sz w:val="24"/>
          <w:szCs w:val="24"/>
          <w:highlight w:val="none"/>
          <w:lang w:val="pt-BR"/>
        </w:rPr>
        <w:t xml:space="preserve"> e como fiscal substituto fica indicado </w:t>
      </w:r>
      <w:r>
        <w:rPr>
          <w:rFonts w:hint="default" w:ascii="Arial" w:hAnsi="Arial" w:cs="Arial"/>
          <w:color w:val="auto"/>
          <w:sz w:val="24"/>
          <w:szCs w:val="24"/>
          <w:highlight w:val="none"/>
          <w:lang w:val="pt-BR"/>
        </w:rPr>
        <w:t>o Eng°. Guilherme Faria Moreira</w:t>
      </w:r>
      <w:r>
        <w:rPr>
          <w:rFonts w:ascii="Arial" w:hAnsi="Arial" w:cs="Arial"/>
          <w:color w:val="auto"/>
          <w:sz w:val="24"/>
          <w:szCs w:val="24"/>
          <w:highlight w:val="none"/>
          <w:lang w:val="pt-BR"/>
        </w:rPr>
        <w:t>. T</w:t>
      </w:r>
      <w:r>
        <w:rPr>
          <w:rFonts w:ascii="Arial" w:hAnsi="Arial" w:cs="Arial"/>
          <w:color w:val="auto"/>
          <w:sz w:val="24"/>
          <w:szCs w:val="24"/>
          <w:highlight w:val="none"/>
        </w:rPr>
        <w:t>elefone: (27) 3263-</w:t>
      </w:r>
      <w:r>
        <w:rPr>
          <w:rFonts w:hint="default" w:ascii="Arial" w:hAnsi="Arial" w:cs="Arial"/>
          <w:color w:val="auto"/>
          <w:sz w:val="24"/>
          <w:szCs w:val="24"/>
          <w:highlight w:val="none"/>
          <w:lang w:val="pt-BR"/>
        </w:rPr>
        <w:t>4841</w:t>
      </w:r>
      <w:r>
        <w:rPr>
          <w:rFonts w:ascii="Arial" w:hAnsi="Arial" w:cs="Arial"/>
          <w:color w:val="auto"/>
          <w:sz w:val="24"/>
          <w:szCs w:val="24"/>
          <w:highlight w:val="none"/>
        </w:rPr>
        <w:t xml:space="preserve"> e e-mail: </w:t>
      </w:r>
      <w:r>
        <w:rPr>
          <w:rFonts w:hint="default" w:ascii="Arial" w:hAnsi="Arial" w:cs="Arial"/>
          <w:color w:val="auto"/>
          <w:sz w:val="24"/>
          <w:szCs w:val="24"/>
          <w:highlight w:val="none"/>
          <w:lang w:val="pt-BR"/>
        </w:rPr>
        <w:t>planejamento</w:t>
      </w:r>
      <w:r>
        <w:rPr>
          <w:rFonts w:ascii="Arial" w:hAnsi="Arial" w:cs="Arial"/>
          <w:color w:val="auto"/>
          <w:sz w:val="24"/>
          <w:szCs w:val="24"/>
          <w:highlight w:val="none"/>
        </w:rPr>
        <w:t>@pmsmj.es.gov.br.</w:t>
      </w:r>
    </w:p>
    <w:p>
      <w:pPr>
        <w:spacing w:after="0" w:line="360" w:lineRule="auto"/>
        <w:jc w:val="both"/>
        <w:rPr>
          <w:rFonts w:ascii="Arial" w:hAnsi="Arial" w:cs="Arial"/>
          <w:color w:val="auto"/>
          <w:sz w:val="24"/>
          <w:szCs w:val="24"/>
          <w:highlight w:val="none"/>
        </w:rPr>
      </w:pPr>
    </w:p>
    <w:p>
      <w:pPr>
        <w:pStyle w:val="10"/>
        <w:numPr>
          <w:ilvl w:val="0"/>
          <w:numId w:val="1"/>
        </w:numPr>
        <w:spacing w:after="0" w:line="360" w:lineRule="auto"/>
        <w:ind w:left="0" w:hanging="35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RESPONSÁVEL PEL</w:t>
      </w:r>
      <w:r>
        <w:rPr>
          <w:rFonts w:hint="default" w:ascii="Arial" w:hAnsi="Arial" w:cs="Arial"/>
          <w:b/>
          <w:sz w:val="24"/>
          <w:szCs w:val="24"/>
          <w:lang w:val="pt-BR"/>
        </w:rPr>
        <w:t>A ELABORAÇÃO DO TERMO DE REFERENCIA</w:t>
      </w:r>
    </w:p>
    <w:p>
      <w:pPr>
        <w:spacing w:after="0" w:line="360" w:lineRule="auto"/>
        <w:jc w:val="both"/>
        <w:rPr>
          <w:rFonts w:ascii="Arial" w:hAnsi="Arial" w:cs="Arial"/>
          <w:color w:val="FF0000"/>
          <w:sz w:val="24"/>
          <w:szCs w:val="24"/>
          <w:highlight w:val="none"/>
        </w:rPr>
      </w:pPr>
    </w:p>
    <w:p>
      <w:pPr>
        <w:spacing w:after="0" w:line="360" w:lineRule="auto"/>
        <w:jc w:val="both"/>
        <w:rPr>
          <w:rFonts w:hint="default" w:ascii="Arial" w:hAnsi="Arial" w:cs="Arial"/>
          <w:color w:val="auto"/>
          <w:sz w:val="24"/>
          <w:szCs w:val="24"/>
          <w:highlight w:val="none"/>
          <w:lang w:val="pt-BR"/>
        </w:rPr>
      </w:pPr>
      <w:r>
        <w:rPr>
          <w:rFonts w:hint="default" w:ascii="Arial" w:hAnsi="Arial" w:cs="Arial"/>
          <w:color w:val="auto"/>
          <w:sz w:val="24"/>
          <w:szCs w:val="24"/>
          <w:highlight w:val="none"/>
          <w:lang w:val="pt-BR"/>
        </w:rPr>
        <w:t>O</w:t>
      </w:r>
      <w:r>
        <w:rPr>
          <w:rFonts w:ascii="Arial" w:hAnsi="Arial" w:cs="Arial"/>
          <w:color w:val="auto"/>
          <w:sz w:val="24"/>
          <w:szCs w:val="24"/>
          <w:highlight w:val="none"/>
        </w:rPr>
        <w:t xml:space="preserve"> </w:t>
      </w:r>
      <w:r>
        <w:rPr>
          <w:rFonts w:ascii="Arial" w:hAnsi="Arial" w:cs="Arial"/>
          <w:color w:val="auto"/>
          <w:sz w:val="24"/>
          <w:szCs w:val="24"/>
          <w:highlight w:val="none"/>
          <w:lang w:val="pt-BR"/>
        </w:rPr>
        <w:t xml:space="preserve">servidor </w:t>
      </w:r>
      <w:r>
        <w:rPr>
          <w:rFonts w:hint="default" w:ascii="Arial" w:hAnsi="Arial" w:cs="Arial"/>
          <w:color w:val="auto"/>
          <w:sz w:val="24"/>
          <w:szCs w:val="24"/>
          <w:highlight w:val="none"/>
          <w:lang w:val="pt-BR"/>
        </w:rPr>
        <w:t>Guilherme Faria Moreira</w:t>
      </w:r>
      <w:r>
        <w:rPr>
          <w:rFonts w:ascii="Arial" w:hAnsi="Arial" w:cs="Arial"/>
          <w:color w:val="auto"/>
          <w:sz w:val="24"/>
          <w:szCs w:val="24"/>
          <w:highlight w:val="none"/>
        </w:rPr>
        <w:t>,</w:t>
      </w:r>
      <w:r>
        <w:rPr>
          <w:rFonts w:ascii="Arial" w:hAnsi="Arial" w:cs="Arial"/>
          <w:color w:val="auto"/>
          <w:sz w:val="24"/>
          <w:szCs w:val="24"/>
          <w:highlight w:val="none"/>
          <w:lang w:val="pt-BR"/>
        </w:rPr>
        <w:t xml:space="preserve"> Engenheiro Civil</w:t>
      </w:r>
      <w:r>
        <w:rPr>
          <w:rFonts w:hint="default" w:ascii="Arial" w:hAnsi="Arial" w:cs="Arial"/>
          <w:color w:val="auto"/>
          <w:sz w:val="24"/>
          <w:szCs w:val="24"/>
          <w:highlight w:val="none"/>
          <w:lang w:val="pt-BR"/>
        </w:rPr>
        <w:t>, MATRICULA: 055011</w:t>
      </w:r>
    </w:p>
    <w:p>
      <w:pPr>
        <w:spacing w:after="0" w:line="360" w:lineRule="auto"/>
        <w:jc w:val="both"/>
        <w:rPr>
          <w:rFonts w:ascii="Arial" w:hAnsi="Arial" w:eastAsia="SimSun" w:cs="Arial"/>
          <w:b/>
          <w:sz w:val="24"/>
          <w:szCs w:val="24"/>
          <w:lang w:eastAsia="pt-BR"/>
        </w:rPr>
      </w:pPr>
    </w:p>
    <w:p>
      <w:pPr>
        <w:spacing w:after="0" w:line="360" w:lineRule="auto"/>
        <w:ind w:firstLine="2880" w:firstLineChars="1200"/>
        <w:jc w:val="both"/>
        <w:rPr>
          <w:rFonts w:ascii="Arial" w:hAnsi="Arial" w:eastAsia="SimSun" w:cs="Arial"/>
          <w:b/>
          <w:sz w:val="24"/>
          <w:szCs w:val="24"/>
          <w:lang w:eastAsia="pt-BR"/>
        </w:rPr>
      </w:pPr>
      <w:r>
        <w:rPr>
          <w:rFonts w:ascii="Arial" w:hAnsi="Arial" w:eastAsia="SimSun" w:cs="Arial"/>
          <w:sz w:val="24"/>
          <w:szCs w:val="24"/>
          <w:lang w:eastAsia="pt-BR"/>
        </w:rPr>
        <w:t xml:space="preserve">Santa Maria de Jetibá/ES, </w:t>
      </w:r>
      <w:r>
        <w:rPr>
          <w:rFonts w:hint="default" w:ascii="Arial" w:hAnsi="Arial" w:eastAsia="SimSun" w:cs="Arial"/>
          <w:sz w:val="24"/>
          <w:szCs w:val="24"/>
          <w:lang w:val="en-US" w:eastAsia="pt-BR"/>
        </w:rPr>
        <w:t xml:space="preserve">16 </w:t>
      </w:r>
      <w:r>
        <w:rPr>
          <w:rFonts w:ascii="Arial" w:hAnsi="Arial" w:eastAsia="SimSun" w:cs="Arial"/>
          <w:sz w:val="24"/>
          <w:szCs w:val="24"/>
          <w:lang w:eastAsia="pt-BR"/>
        </w:rPr>
        <w:t xml:space="preserve">de </w:t>
      </w:r>
      <w:r>
        <w:rPr>
          <w:rFonts w:hint="default" w:ascii="Arial" w:hAnsi="Arial" w:eastAsia="SimSun" w:cs="Arial"/>
          <w:sz w:val="24"/>
          <w:szCs w:val="24"/>
          <w:lang w:val="en-US" w:eastAsia="pt-BR"/>
        </w:rPr>
        <w:t xml:space="preserve">Agosto </w:t>
      </w:r>
      <w:r>
        <w:rPr>
          <w:rFonts w:ascii="Arial" w:hAnsi="Arial" w:eastAsia="SimSun" w:cs="Arial"/>
          <w:sz w:val="24"/>
          <w:szCs w:val="24"/>
          <w:lang w:eastAsia="pt-BR"/>
        </w:rPr>
        <w:t>de 20</w:t>
      </w:r>
      <w:r>
        <w:rPr>
          <w:rFonts w:hint="default" w:ascii="Arial" w:hAnsi="Arial" w:eastAsia="SimSun" w:cs="Arial"/>
          <w:sz w:val="24"/>
          <w:szCs w:val="24"/>
          <w:lang w:val="en-US" w:eastAsia="pt-BR"/>
        </w:rPr>
        <w:t>22</w:t>
      </w:r>
      <w:r>
        <w:rPr>
          <w:rFonts w:ascii="Arial" w:hAnsi="Arial" w:eastAsia="SimSun" w:cs="Arial"/>
          <w:sz w:val="24"/>
          <w:szCs w:val="24"/>
          <w:lang w:eastAsia="pt-BR"/>
        </w:rPr>
        <w:t>.</w:t>
      </w:r>
    </w:p>
    <w:p>
      <w:pPr>
        <w:spacing w:after="0" w:line="360" w:lineRule="auto"/>
        <w:jc w:val="both"/>
        <w:rPr>
          <w:rFonts w:ascii="Arial" w:hAnsi="Arial" w:eastAsia="SimSun" w:cs="Arial"/>
          <w:b/>
          <w:sz w:val="24"/>
          <w:szCs w:val="24"/>
          <w:lang w:eastAsia="pt-BR"/>
        </w:rPr>
      </w:pPr>
    </w:p>
    <w:p>
      <w:pPr>
        <w:spacing w:after="0" w:line="360" w:lineRule="auto"/>
        <w:jc w:val="both"/>
        <w:rPr>
          <w:rFonts w:ascii="Arial" w:hAnsi="Arial" w:eastAsia="SimSun" w:cs="Arial"/>
          <w:b/>
          <w:sz w:val="24"/>
          <w:szCs w:val="24"/>
          <w:lang w:eastAsia="pt-BR"/>
        </w:rPr>
      </w:pPr>
    </w:p>
    <w:tbl>
      <w:tblPr>
        <w:tblStyle w:val="9"/>
        <w:tblpPr w:leftFromText="180" w:rightFromText="180" w:vertAnchor="text" w:horzAnchor="page" w:tblpX="1582" w:tblpY="281"/>
        <w:tblOverlap w:val="never"/>
        <w:tblW w:w="871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0"/>
        <w:gridCol w:w="43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0" w:type="dxa"/>
            <w:tcBorders>
              <w:tl2br w:val="nil"/>
              <w:tr2bl w:val="nil"/>
            </w:tcBorders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Arial" w:hAnsi="Arial" w:cs="Arial"/>
                <w:b/>
                <w:bCs/>
                <w:sz w:val="24"/>
                <w:szCs w:val="24"/>
                <w:lang w:val="pt-BR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lang w:val="pt-BR"/>
              </w:rPr>
              <w:t xml:space="preserve">Guilherme Faria Moreira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Arial" w:hAnsi="Arial" w:cs="Arial"/>
                <w:b w:val="0"/>
                <w:bCs w:val="0"/>
                <w:sz w:val="24"/>
                <w:szCs w:val="24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  <w:lang w:val="pt-BR"/>
              </w:rPr>
              <w:t>FISCAL DE CONTRATO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Arial" w:hAnsi="Arial" w:cs="Arial"/>
                <w:b w:val="0"/>
                <w:bCs w:val="0"/>
                <w:sz w:val="24"/>
                <w:szCs w:val="24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  <w:highlight w:val="none"/>
                <w:lang w:val="pt-BR"/>
              </w:rPr>
              <w:t>SUBSTITUTO</w:t>
            </w:r>
          </w:p>
        </w:tc>
        <w:tc>
          <w:tcPr>
            <w:tcW w:w="4358" w:type="dxa"/>
            <w:tcBorders>
              <w:tl2br w:val="nil"/>
              <w:tr2bl w:val="nil"/>
            </w:tcBorders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Arial" w:hAnsi="Arial" w:cs="Arial"/>
                <w:b/>
                <w:bCs/>
                <w:sz w:val="24"/>
                <w:szCs w:val="24"/>
                <w:lang w:val="pt-BR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lang w:val="pt-BR"/>
              </w:rPr>
              <w:t>Lara Discher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Arial" w:hAnsi="Arial" w:cs="Arial"/>
                <w:b w:val="0"/>
                <w:bCs w:val="0"/>
                <w:sz w:val="24"/>
                <w:szCs w:val="24"/>
                <w:lang w:val="pt-BR"/>
              </w:rPr>
            </w:pP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  <w:lang w:val="pt-BR"/>
              </w:rPr>
              <w:t>FISCAL DE CONTRATO</w:t>
            </w:r>
          </w:p>
        </w:tc>
      </w:tr>
    </w:tbl>
    <w:p>
      <w:pPr>
        <w:spacing w:after="0" w:line="240" w:lineRule="auto"/>
        <w:jc w:val="both"/>
        <w:rPr>
          <w:rFonts w:ascii="Arial" w:hAnsi="Arial" w:eastAsia="SimSun" w:cs="Arial"/>
          <w:b/>
          <w:sz w:val="24"/>
          <w:szCs w:val="24"/>
          <w:lang w:eastAsia="pt-BR"/>
        </w:rPr>
      </w:pPr>
    </w:p>
    <w:p>
      <w:pPr>
        <w:spacing w:after="0" w:line="240" w:lineRule="auto"/>
        <w:jc w:val="both"/>
        <w:rPr>
          <w:rFonts w:ascii="Arial" w:hAnsi="Arial" w:eastAsia="SimSun" w:cs="Arial"/>
          <w:b/>
          <w:sz w:val="24"/>
          <w:szCs w:val="24"/>
          <w:lang w:eastAsia="pt-BR"/>
        </w:rPr>
      </w:pPr>
    </w:p>
    <w:p>
      <w:pPr>
        <w:spacing w:after="0" w:line="240" w:lineRule="auto"/>
        <w:jc w:val="both"/>
        <w:rPr>
          <w:rFonts w:ascii="Arial" w:hAnsi="Arial" w:eastAsia="SimSun" w:cs="Arial"/>
          <w:b/>
          <w:sz w:val="24"/>
          <w:szCs w:val="24"/>
          <w:lang w:eastAsia="pt-BR"/>
        </w:rPr>
      </w:pPr>
    </w:p>
    <w:p>
      <w:pPr>
        <w:spacing w:after="0" w:line="240" w:lineRule="auto"/>
        <w:jc w:val="center"/>
        <w:rPr>
          <w:rFonts w:ascii="Arial" w:hAnsi="Arial" w:eastAsia="SimSun" w:cs="Arial"/>
          <w:b/>
          <w:sz w:val="24"/>
          <w:szCs w:val="24"/>
          <w:lang w:eastAsia="pt-BR"/>
        </w:rPr>
      </w:pPr>
    </w:p>
    <w:p>
      <w:pPr>
        <w:spacing w:after="0" w:line="240" w:lineRule="auto"/>
        <w:jc w:val="both"/>
        <w:rPr>
          <w:rFonts w:ascii="Arial" w:hAnsi="Arial" w:eastAsia="SimSun" w:cs="Arial"/>
          <w:b/>
          <w:sz w:val="24"/>
          <w:szCs w:val="24"/>
          <w:lang w:eastAsia="pt-BR"/>
        </w:rPr>
      </w:pPr>
    </w:p>
    <w:p>
      <w:pPr>
        <w:pStyle w:val="10"/>
        <w:spacing w:after="0" w:line="240" w:lineRule="auto"/>
        <w:ind w:left="0" w:leftChars="0" w:firstLine="0" w:firstLineChars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</w:t>
      </w:r>
    </w:p>
    <w:p>
      <w:pPr>
        <w:spacing w:after="0" w:line="240" w:lineRule="auto"/>
        <w:jc w:val="center"/>
        <w:rPr>
          <w:rFonts w:hint="default" w:ascii="Arial" w:hAnsi="Arial" w:eastAsia="SimSun" w:cs="Arial"/>
          <w:sz w:val="24"/>
          <w:szCs w:val="24"/>
          <w:lang w:val="en-US" w:eastAsia="pt-BR"/>
        </w:rPr>
      </w:pPr>
      <w:r>
        <w:rPr>
          <w:rFonts w:hint="default" w:ascii="Arial" w:hAnsi="Arial" w:eastAsia="SimSun"/>
          <w:sz w:val="24"/>
          <w:szCs w:val="24"/>
          <w:lang w:val="en-US" w:eastAsia="pt-BR"/>
        </w:rPr>
        <w:t>Silvia Helena Ferreira De Freitas Giordani</w:t>
      </w:r>
    </w:p>
    <w:p>
      <w:pPr>
        <w:spacing w:after="0" w:line="240" w:lineRule="auto"/>
        <w:jc w:val="center"/>
        <w:rPr>
          <w:rFonts w:hint="default" w:ascii="Arial" w:hAnsi="Arial" w:eastAsia="SimSun" w:cs="Arial"/>
          <w:sz w:val="24"/>
          <w:szCs w:val="24"/>
          <w:lang w:val="en-US" w:eastAsia="pt-BR"/>
        </w:rPr>
      </w:pPr>
      <w:r>
        <w:rPr>
          <w:rFonts w:ascii="Arial" w:hAnsi="Arial" w:eastAsia="SimSun" w:cs="Arial"/>
          <w:sz w:val="24"/>
          <w:szCs w:val="24"/>
          <w:lang w:eastAsia="pt-BR"/>
        </w:rPr>
        <w:t>Secretári</w:t>
      </w:r>
      <w:r>
        <w:rPr>
          <w:rFonts w:hint="default" w:ascii="Arial" w:hAnsi="Arial" w:eastAsia="SimSun" w:cs="Arial"/>
          <w:sz w:val="24"/>
          <w:szCs w:val="24"/>
          <w:lang w:val="en-US" w:eastAsia="pt-BR"/>
        </w:rPr>
        <w:t>a</w:t>
      </w:r>
      <w:r>
        <w:rPr>
          <w:rFonts w:ascii="Arial" w:hAnsi="Arial" w:eastAsia="SimSun" w:cs="Arial"/>
          <w:sz w:val="24"/>
          <w:szCs w:val="24"/>
          <w:lang w:eastAsia="pt-BR"/>
        </w:rPr>
        <w:t xml:space="preserve"> Municipal de </w:t>
      </w:r>
      <w:r>
        <w:rPr>
          <w:rFonts w:hint="default" w:ascii="Arial" w:hAnsi="Arial" w:eastAsia="SimSun" w:cs="Arial"/>
          <w:sz w:val="24"/>
          <w:szCs w:val="24"/>
          <w:lang w:val="en-US" w:eastAsia="pt-BR"/>
        </w:rPr>
        <w:t>Planejamento</w:t>
      </w:r>
    </w:p>
    <w:sectPr>
      <w:headerReference r:id="rId5" w:type="default"/>
      <w:footerReference r:id="rId6" w:type="default"/>
      <w:pgSz w:w="11906" w:h="16838"/>
      <w:pgMar w:top="1417" w:right="1701" w:bottom="1417" w:left="1701" w:header="708" w:footer="708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iberationSerif-Bold">
    <w:altName w:val="AMGD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Old English Text MT">
    <w:panose1 w:val="03040902040508030806"/>
    <w:charset w:val="00"/>
    <w:family w:val="script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2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Caixa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Caixa de Texto 3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s0lY7tAA&#10;AAAFAQAADwAAAAAAAAABACAAAAAiAAAAZHJzL2Rvd25yZXYueG1sUEsBAhQAFAAAAAgAh07iQGVy&#10;O6MnAgAAZgQAAA4AAAAAAAAAAQAgAAAAHwEAAGRycy9lMm9Eb2MueG1sUEsFBgAAAAAGAAYAWQEA&#10;ALg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rFonts w:ascii="Old English Text MT" w:hAnsi="Old English Text MT"/>
        <w:b/>
        <w:sz w:val="36"/>
        <w:szCs w:val="36"/>
      </w:rPr>
    </w:pPr>
    <w:r>
      <w:rPr>
        <w:rFonts w:ascii="Old English Text MT" w:hAnsi="Old English Text MT"/>
        <w:b/>
        <w:sz w:val="36"/>
        <w:szCs w:val="36"/>
      </w:rPr>
      <w:t>Prefeitura Municipal de Santa Maria de Jetibá</w:t>
    </w:r>
  </w:p>
  <w:p>
    <w:pPr>
      <w:pStyle w:val="7"/>
      <w:jc w:val="center"/>
      <w:rPr>
        <w:rFonts w:ascii="Old English Text MT" w:hAnsi="Old English Text MT"/>
        <w:b/>
        <w:sz w:val="36"/>
        <w:szCs w:val="36"/>
      </w:rPr>
    </w:pPr>
    <w:r>
      <w:rPr>
        <w:rFonts w:hint="default" w:ascii="Old English Text MT" w:hAnsi="Old English Text MT" w:cs="Old English Text MT"/>
        <w:b/>
        <w:bCs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-293370</wp:posOffset>
          </wp:positionH>
          <wp:positionV relativeFrom="paragraph">
            <wp:posOffset>-434975</wp:posOffset>
          </wp:positionV>
          <wp:extent cx="734695" cy="977900"/>
          <wp:effectExtent l="0" t="0" r="8255" b="12700"/>
          <wp:wrapSquare wrapText="bothSides"/>
          <wp:docPr id="2" name="Imagem 1026" descr="brasao du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026" descr="brasao duda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4695" cy="97790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ascii="Old English Text MT" w:hAnsi="Old English Text MT"/>
        <w:b/>
        <w:sz w:val="36"/>
        <w:szCs w:val="36"/>
      </w:rPr>
      <w:t>Estado do Espírito Santo</w:t>
    </w:r>
  </w:p>
  <w:p>
    <w:pPr>
      <w:pStyle w:val="7"/>
    </w:pPr>
  </w:p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112E73"/>
    <w:multiLevelType w:val="singleLevel"/>
    <w:tmpl w:val="E9112E73"/>
    <w:lvl w:ilvl="0" w:tentative="0">
      <w:start w:val="1"/>
      <w:numFmt w:val="lowerLetter"/>
      <w:suff w:val="space"/>
      <w:lvlText w:val="%1)"/>
      <w:lvlJc w:val="left"/>
    </w:lvl>
  </w:abstractNum>
  <w:abstractNum w:abstractNumId="1">
    <w:nsid w:val="52D21A59"/>
    <w:multiLevelType w:val="multilevel"/>
    <w:tmpl w:val="52D21A59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47C498"/>
    <w:multiLevelType w:val="singleLevel"/>
    <w:tmpl w:val="5947C498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3">
    <w:nsid w:val="7426B8CF"/>
    <w:multiLevelType w:val="singleLevel"/>
    <w:tmpl w:val="7426B8CF"/>
    <w:lvl w:ilvl="0" w:tentative="0">
      <w:start w:val="1"/>
      <w:numFmt w:val="lowerLetter"/>
      <w:suff w:val="space"/>
      <w:lvlText w:val="%1)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F5"/>
    <w:rsid w:val="00011D37"/>
    <w:rsid w:val="00074FF5"/>
    <w:rsid w:val="0007677C"/>
    <w:rsid w:val="000933F9"/>
    <w:rsid w:val="001018B0"/>
    <w:rsid w:val="00233B19"/>
    <w:rsid w:val="002348CB"/>
    <w:rsid w:val="002A1C04"/>
    <w:rsid w:val="00330C85"/>
    <w:rsid w:val="00344D50"/>
    <w:rsid w:val="0035634E"/>
    <w:rsid w:val="00370725"/>
    <w:rsid w:val="00403264"/>
    <w:rsid w:val="00427957"/>
    <w:rsid w:val="00452F56"/>
    <w:rsid w:val="004968BF"/>
    <w:rsid w:val="004C6E70"/>
    <w:rsid w:val="004D1286"/>
    <w:rsid w:val="004E60A7"/>
    <w:rsid w:val="00505E74"/>
    <w:rsid w:val="00535B79"/>
    <w:rsid w:val="00562FB9"/>
    <w:rsid w:val="00574330"/>
    <w:rsid w:val="0073505B"/>
    <w:rsid w:val="007848AB"/>
    <w:rsid w:val="00802B03"/>
    <w:rsid w:val="00884166"/>
    <w:rsid w:val="00884864"/>
    <w:rsid w:val="00984E5F"/>
    <w:rsid w:val="009F0E49"/>
    <w:rsid w:val="00A03A96"/>
    <w:rsid w:val="00A301D6"/>
    <w:rsid w:val="00A3289B"/>
    <w:rsid w:val="00A50181"/>
    <w:rsid w:val="00A949E4"/>
    <w:rsid w:val="00B244C3"/>
    <w:rsid w:val="00B702A2"/>
    <w:rsid w:val="00BB09AE"/>
    <w:rsid w:val="00BE2AFE"/>
    <w:rsid w:val="00BE6F41"/>
    <w:rsid w:val="00BF61F4"/>
    <w:rsid w:val="00C43C51"/>
    <w:rsid w:val="00C52C2B"/>
    <w:rsid w:val="00D15AD7"/>
    <w:rsid w:val="00D91B08"/>
    <w:rsid w:val="00DA695B"/>
    <w:rsid w:val="00E31870"/>
    <w:rsid w:val="00E606AA"/>
    <w:rsid w:val="00E77B2D"/>
    <w:rsid w:val="00EF714C"/>
    <w:rsid w:val="00F57A4B"/>
    <w:rsid w:val="00FE108D"/>
    <w:rsid w:val="02D81F30"/>
    <w:rsid w:val="03030CF9"/>
    <w:rsid w:val="043C1A87"/>
    <w:rsid w:val="044D14AF"/>
    <w:rsid w:val="063A3C14"/>
    <w:rsid w:val="066B55CE"/>
    <w:rsid w:val="073158D1"/>
    <w:rsid w:val="08712BB3"/>
    <w:rsid w:val="08BC0220"/>
    <w:rsid w:val="09CE7E7B"/>
    <w:rsid w:val="0A3922AD"/>
    <w:rsid w:val="0B25305C"/>
    <w:rsid w:val="0B650BB6"/>
    <w:rsid w:val="0B6C3C06"/>
    <w:rsid w:val="0C3B4E67"/>
    <w:rsid w:val="0D63678E"/>
    <w:rsid w:val="0E26719B"/>
    <w:rsid w:val="1494499A"/>
    <w:rsid w:val="15322433"/>
    <w:rsid w:val="1549642C"/>
    <w:rsid w:val="166D4CA3"/>
    <w:rsid w:val="17FE5812"/>
    <w:rsid w:val="191B185D"/>
    <w:rsid w:val="1B0732C8"/>
    <w:rsid w:val="1CEE4A04"/>
    <w:rsid w:val="1D85481D"/>
    <w:rsid w:val="1E4550E8"/>
    <w:rsid w:val="1E570BB1"/>
    <w:rsid w:val="21273EB2"/>
    <w:rsid w:val="2283223E"/>
    <w:rsid w:val="24F56F1D"/>
    <w:rsid w:val="277C2B81"/>
    <w:rsid w:val="2AC97815"/>
    <w:rsid w:val="2D701D5E"/>
    <w:rsid w:val="309000FC"/>
    <w:rsid w:val="33FA5D62"/>
    <w:rsid w:val="34442B85"/>
    <w:rsid w:val="350548AA"/>
    <w:rsid w:val="37920628"/>
    <w:rsid w:val="37C67941"/>
    <w:rsid w:val="37D534A3"/>
    <w:rsid w:val="38243A16"/>
    <w:rsid w:val="389270C4"/>
    <w:rsid w:val="391854AA"/>
    <w:rsid w:val="39C844F3"/>
    <w:rsid w:val="3A891D0F"/>
    <w:rsid w:val="3B0A141B"/>
    <w:rsid w:val="3C4C6285"/>
    <w:rsid w:val="3CB062CB"/>
    <w:rsid w:val="3DBA6254"/>
    <w:rsid w:val="3E2C36B1"/>
    <w:rsid w:val="438E1DA6"/>
    <w:rsid w:val="448D1765"/>
    <w:rsid w:val="47E47368"/>
    <w:rsid w:val="488B20B4"/>
    <w:rsid w:val="49976737"/>
    <w:rsid w:val="4C237136"/>
    <w:rsid w:val="4DDE3FCE"/>
    <w:rsid w:val="4E297823"/>
    <w:rsid w:val="4E744E66"/>
    <w:rsid w:val="4EF6669E"/>
    <w:rsid w:val="53212169"/>
    <w:rsid w:val="53703DE4"/>
    <w:rsid w:val="53E21FCA"/>
    <w:rsid w:val="56405C6A"/>
    <w:rsid w:val="57652639"/>
    <w:rsid w:val="5787077D"/>
    <w:rsid w:val="57C06767"/>
    <w:rsid w:val="5AC5569D"/>
    <w:rsid w:val="5CFD734D"/>
    <w:rsid w:val="5D7032A4"/>
    <w:rsid w:val="5DF24EE4"/>
    <w:rsid w:val="601B4D29"/>
    <w:rsid w:val="608B3DD8"/>
    <w:rsid w:val="62F451D7"/>
    <w:rsid w:val="63592CD0"/>
    <w:rsid w:val="64214592"/>
    <w:rsid w:val="64532103"/>
    <w:rsid w:val="646041DA"/>
    <w:rsid w:val="658D7931"/>
    <w:rsid w:val="65943B04"/>
    <w:rsid w:val="698F405A"/>
    <w:rsid w:val="6BBE10FB"/>
    <w:rsid w:val="6C053139"/>
    <w:rsid w:val="6DFF4199"/>
    <w:rsid w:val="70E80505"/>
    <w:rsid w:val="713031B0"/>
    <w:rsid w:val="726629A5"/>
    <w:rsid w:val="7491642B"/>
    <w:rsid w:val="76721F54"/>
    <w:rsid w:val="771928F9"/>
    <w:rsid w:val="78BF105B"/>
    <w:rsid w:val="7C436AB4"/>
    <w:rsid w:val="7D457A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pt-BR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5"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5">
    <w:name w:val="Emphasis"/>
    <w:basedOn w:val="2"/>
    <w:qFormat/>
    <w:uiPriority w:val="20"/>
    <w:rPr>
      <w:i/>
      <w:iCs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252"/>
        <w:tab w:val="right" w:pos="8504"/>
      </w:tabs>
      <w:spacing w:after="0" w:line="240" w:lineRule="auto"/>
    </w:pPr>
  </w:style>
  <w:style w:type="paragraph" w:styleId="7">
    <w:name w:val="header"/>
    <w:basedOn w:val="1"/>
    <w:link w:val="12"/>
    <w:unhideWhenUsed/>
    <w:qFormat/>
    <w:uiPriority w:val="0"/>
    <w:pPr>
      <w:tabs>
        <w:tab w:val="center" w:pos="4252"/>
        <w:tab w:val="right" w:pos="8504"/>
      </w:tabs>
      <w:spacing w:after="0" w:line="240" w:lineRule="auto"/>
    </w:pPr>
  </w:style>
  <w:style w:type="paragraph" w:styleId="8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table" w:styleId="9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List Paragraph"/>
    <w:basedOn w:val="1"/>
    <w:qFormat/>
    <w:uiPriority w:val="34"/>
    <w:pPr>
      <w:ind w:left="720"/>
      <w:contextualSpacing/>
    </w:pPr>
  </w:style>
  <w:style w:type="paragraph" w:customStyle="1" w:styleId="11">
    <w:name w:val="No Spacing"/>
    <w:qFormat/>
    <w:uiPriority w:val="1"/>
    <w:pPr>
      <w:spacing w:after="0" w:line="240" w:lineRule="auto"/>
    </w:pPr>
    <w:rPr>
      <w:rFonts w:ascii="Calibri" w:hAnsi="Calibri" w:eastAsia="Calibri" w:cs="Times New Roman"/>
      <w:sz w:val="22"/>
      <w:szCs w:val="22"/>
      <w:lang w:val="pt-BR" w:eastAsia="en-US" w:bidi="ar-SA"/>
    </w:rPr>
  </w:style>
  <w:style w:type="character" w:customStyle="1" w:styleId="12">
    <w:name w:val="Cabeçalho Char"/>
    <w:basedOn w:val="2"/>
    <w:link w:val="7"/>
    <w:qFormat/>
    <w:uiPriority w:val="99"/>
  </w:style>
  <w:style w:type="character" w:customStyle="1" w:styleId="13">
    <w:name w:val="Rodapé Char"/>
    <w:basedOn w:val="2"/>
    <w:link w:val="6"/>
    <w:qFormat/>
    <w:uiPriority w:val="99"/>
  </w:style>
  <w:style w:type="character" w:customStyle="1" w:styleId="14">
    <w:name w:val="apple-converted-space"/>
    <w:basedOn w:val="2"/>
    <w:qFormat/>
    <w:uiPriority w:val="0"/>
  </w:style>
  <w:style w:type="character" w:customStyle="1" w:styleId="15">
    <w:name w:val="Texto de balão Char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16">
    <w:name w:val="Parágrafo da Lista1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751</Words>
  <Characters>4060</Characters>
  <Lines>33</Lines>
  <Paragraphs>9</Paragraphs>
  <TotalTime>6</TotalTime>
  <ScaleCrop>false</ScaleCrop>
  <LinksUpToDate>false</LinksUpToDate>
  <CharactersWithSpaces>4802</CharactersWithSpaces>
  <Application>WPS Office_11.2.0.11042_F1E327BC-269C-435d-A152-05C5408002CA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2016-07-15T13:19:00Z</dcterms:created>
  <dc:creator>Rosilania Acher</dc:creator>
  <cp:lastModifiedBy>guilherme.moreira</cp:lastModifiedBy>
  <cp:lastPrinted>2022-08-16T16:32:01Z</cp:lastPrinted>
  <dcterms:modified xsi:type="dcterms:W3CDTF">2022-08-16T16:33:43Z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560177FAE7FF4ABABDDADAF697A555CB</vt:lpwstr>
  </property>
</Properties>
</file>